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rPr>
          <w:color w:val="auto"/>
          <w:sz w:val="48"/>
          <w:szCs w:val="48"/>
        </w:rPr>
      </w:pPr>
    </w:p>
    <w:p>
      <w:pPr>
        <w:pStyle w:val="2"/>
      </w:pPr>
      <w:bookmarkStart w:id="119" w:name="_GoBack"/>
      <w:bookmarkEnd w:id="119"/>
    </w:p>
    <w:p>
      <w:pPr>
        <w:pStyle w:val="2"/>
        <w:rPr>
          <w:color w:val="auto"/>
        </w:rPr>
      </w:pPr>
    </w:p>
    <w:p>
      <w:pPr>
        <w:pStyle w:val="18"/>
        <w:adjustRightInd w:val="0"/>
        <w:snapToGrid w:val="0"/>
        <w:spacing w:after="0" w:line="580" w:lineRule="exact"/>
        <w:ind w:left="0"/>
        <w:jc w:val="center"/>
        <w:rPr>
          <w:rFonts w:hint="eastAsia" w:ascii="方正小标宋简体" w:hAnsi="方正小标宋简体" w:eastAsia="方正小标宋简体" w:cs="方正小标宋简体"/>
          <w:color w:val="auto"/>
          <w:kern w:val="2"/>
          <w:sz w:val="44"/>
          <w:szCs w:val="44"/>
          <w:lang w:eastAsia="zh-CN"/>
        </w:rPr>
      </w:pPr>
      <w:r>
        <w:rPr>
          <w:rFonts w:hint="eastAsia" w:ascii="方正小标宋简体" w:hAnsi="方正小标宋简体" w:eastAsia="方正小标宋简体" w:cs="方正小标宋简体"/>
          <w:color w:val="auto"/>
          <w:kern w:val="2"/>
          <w:sz w:val="44"/>
          <w:szCs w:val="44"/>
        </w:rPr>
        <w:t>深圳阳光平台</w:t>
      </w:r>
      <w:r>
        <w:rPr>
          <w:rFonts w:hint="eastAsia" w:ascii="方正小标宋简体" w:hAnsi="方正小标宋简体" w:eastAsia="方正小标宋简体" w:cs="方正小标宋简体"/>
          <w:color w:val="auto"/>
          <w:kern w:val="2"/>
          <w:sz w:val="44"/>
          <w:szCs w:val="44"/>
          <w:lang w:eastAsia="zh-CN"/>
        </w:rPr>
        <w:t>泌尿介入导丝等五类</w:t>
      </w:r>
    </w:p>
    <w:p>
      <w:pPr>
        <w:pStyle w:val="18"/>
        <w:adjustRightInd w:val="0"/>
        <w:snapToGrid w:val="0"/>
        <w:spacing w:after="0" w:line="580" w:lineRule="exact"/>
        <w:ind w:left="0"/>
        <w:jc w:val="center"/>
        <w:rPr>
          <w:rFonts w:ascii="方正小标宋简体" w:hAnsi="方正小标宋简体" w:eastAsia="方正小标宋简体" w:cs="方正小标宋简体"/>
          <w:color w:val="auto"/>
          <w:kern w:val="2"/>
          <w:sz w:val="44"/>
          <w:szCs w:val="44"/>
        </w:rPr>
      </w:pPr>
      <w:r>
        <w:rPr>
          <w:rFonts w:hint="eastAsia" w:ascii="方正小标宋简体" w:hAnsi="方正小标宋简体" w:eastAsia="方正小标宋简体" w:cs="方正小标宋简体"/>
          <w:color w:val="auto"/>
          <w:kern w:val="2"/>
          <w:sz w:val="44"/>
          <w:szCs w:val="44"/>
        </w:rPr>
        <w:t>医用耗材价格谈判采购文件</w:t>
      </w:r>
    </w:p>
    <w:p>
      <w:pPr>
        <w:pStyle w:val="18"/>
        <w:adjustRightInd w:val="0"/>
        <w:snapToGrid w:val="0"/>
        <w:spacing w:after="0" w:line="580" w:lineRule="exact"/>
        <w:ind w:left="0"/>
        <w:jc w:val="center"/>
        <w:rPr>
          <w:rFonts w:ascii="方正小标宋简体" w:hAnsi="方正小标宋简体" w:eastAsia="方正小标宋简体" w:cs="方正小标宋简体"/>
          <w:color w:val="auto"/>
          <w:kern w:val="2"/>
          <w:sz w:val="32"/>
          <w:szCs w:val="32"/>
        </w:rPr>
      </w:pPr>
    </w:p>
    <w:p>
      <w:pPr>
        <w:pStyle w:val="6"/>
        <w:spacing w:line="580" w:lineRule="exact"/>
        <w:rPr>
          <w:color w:val="auto"/>
        </w:rPr>
      </w:pPr>
    </w:p>
    <w:p>
      <w:pPr>
        <w:spacing w:line="580" w:lineRule="exact"/>
        <w:ind w:left="0"/>
        <w:jc w:val="center"/>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rPr>
        <w:t>项目编号：</w:t>
      </w:r>
      <w:r>
        <w:rPr>
          <w:rFonts w:hint="eastAsia" w:ascii="仿宋_GB2312" w:hAnsi="仿宋_GB2312" w:eastAsia="仿宋_GB2312" w:cs="仿宋_GB2312"/>
          <w:color w:val="auto"/>
          <w:kern w:val="2"/>
          <w:sz w:val="32"/>
          <w:szCs w:val="32"/>
          <w:highlight w:val="none"/>
          <w:shd w:val="clear"/>
        </w:rPr>
        <w:t>SZJGTP202</w:t>
      </w:r>
      <w:r>
        <w:rPr>
          <w:rFonts w:ascii="仿宋_GB2312" w:hAnsi="仿宋_GB2312" w:eastAsia="仿宋_GB2312" w:cs="仿宋_GB2312"/>
          <w:color w:val="auto"/>
          <w:kern w:val="2"/>
          <w:sz w:val="32"/>
          <w:szCs w:val="32"/>
          <w:highlight w:val="none"/>
          <w:shd w:val="clear"/>
        </w:rPr>
        <w:t>3</w:t>
      </w:r>
      <w:r>
        <w:rPr>
          <w:rFonts w:hint="eastAsia" w:ascii="仿宋_GB2312" w:hAnsi="仿宋_GB2312" w:eastAsia="仿宋_GB2312" w:cs="仿宋_GB2312"/>
          <w:color w:val="auto"/>
          <w:kern w:val="2"/>
          <w:sz w:val="32"/>
          <w:szCs w:val="32"/>
          <w:highlight w:val="none"/>
          <w:shd w:val="clear"/>
        </w:rPr>
        <w:t>000</w:t>
      </w:r>
      <w:r>
        <w:rPr>
          <w:rFonts w:hint="eastAsia" w:ascii="仿宋_GB2312" w:hAnsi="仿宋_GB2312" w:eastAsia="仿宋_GB2312" w:cs="仿宋_GB2312"/>
          <w:color w:val="auto"/>
          <w:kern w:val="2"/>
          <w:sz w:val="32"/>
          <w:szCs w:val="32"/>
          <w:highlight w:val="none"/>
          <w:shd w:val="clear"/>
          <w:lang w:val="en-US" w:eastAsia="zh-CN"/>
        </w:rPr>
        <w:t>2</w:t>
      </w:r>
    </w:p>
    <w:p>
      <w:pPr>
        <w:spacing w:line="580" w:lineRule="exact"/>
        <w:rPr>
          <w:rFonts w:ascii="仿宋_GB2312" w:hAnsi="仿宋_GB2312" w:eastAsia="仿宋_GB2312" w:cs="仿宋_GB2312"/>
          <w:bCs/>
          <w:color w:val="auto"/>
          <w:sz w:val="32"/>
          <w:szCs w:val="32"/>
        </w:rPr>
      </w:pPr>
      <w:r>
        <w:rPr>
          <w:rFonts w:hint="eastAsia" w:ascii="仿宋_GB2312" w:hAnsi="仿宋_GB2312" w:eastAsia="仿宋_GB2312" w:cs="仿宋_GB2312"/>
          <w:b/>
          <w:color w:val="auto"/>
          <w:sz w:val="32"/>
          <w:szCs w:val="32"/>
        </w:rPr>
        <w:t xml:space="preserve">                                        </w:t>
      </w:r>
      <w:r>
        <w:rPr>
          <w:rFonts w:hint="eastAsia" w:ascii="仿宋_GB2312" w:hAnsi="仿宋_GB2312" w:eastAsia="仿宋_GB2312" w:cs="仿宋_GB2312"/>
          <w:bCs/>
          <w:color w:val="auto"/>
          <w:sz w:val="32"/>
          <w:szCs w:val="32"/>
        </w:rPr>
        <w:t xml:space="preserve">                 </w:t>
      </w:r>
    </w:p>
    <w:p>
      <w:pPr>
        <w:spacing w:line="580" w:lineRule="exact"/>
        <w:ind w:left="0" w:right="640"/>
        <w:rPr>
          <w:rFonts w:ascii="仿宋_GB2312" w:hAnsi="仿宋_GB2312" w:eastAsia="仿宋_GB2312" w:cs="仿宋_GB2312"/>
          <w:color w:val="auto"/>
          <w:sz w:val="32"/>
          <w:szCs w:val="32"/>
        </w:rPr>
      </w:pPr>
    </w:p>
    <w:p>
      <w:pPr>
        <w:pStyle w:val="13"/>
        <w:spacing w:line="580" w:lineRule="exact"/>
        <w:rPr>
          <w:rFonts w:ascii="仿宋_GB2312" w:hAnsi="仿宋_GB2312" w:eastAsia="仿宋_GB2312" w:cs="仿宋_GB2312"/>
          <w:color w:val="auto"/>
          <w:sz w:val="32"/>
          <w:szCs w:val="32"/>
        </w:rPr>
      </w:pPr>
    </w:p>
    <w:p>
      <w:pPr>
        <w:pStyle w:val="6"/>
        <w:spacing w:line="580" w:lineRule="exact"/>
        <w:rPr>
          <w:rFonts w:ascii="仿宋_GB2312" w:hAnsi="仿宋_GB2312" w:eastAsia="仿宋_GB2312" w:cs="仿宋_GB2312"/>
          <w:color w:val="auto"/>
          <w:sz w:val="32"/>
          <w:szCs w:val="32"/>
        </w:rPr>
      </w:pPr>
    </w:p>
    <w:p>
      <w:pPr>
        <w:pStyle w:val="13"/>
        <w:spacing w:line="580" w:lineRule="exact"/>
        <w:rPr>
          <w:rFonts w:ascii="仿宋_GB2312" w:hAnsi="仿宋_GB2312" w:eastAsia="仿宋_GB2312" w:cs="仿宋_GB2312"/>
          <w:color w:val="auto"/>
          <w:sz w:val="32"/>
          <w:szCs w:val="32"/>
        </w:rPr>
      </w:pPr>
    </w:p>
    <w:p>
      <w:pPr>
        <w:pStyle w:val="6"/>
        <w:spacing w:line="580" w:lineRule="exact"/>
        <w:rPr>
          <w:rFonts w:ascii="仿宋_GB2312" w:hAnsi="仿宋_GB2312" w:eastAsia="仿宋_GB2312" w:cs="仿宋_GB2312"/>
          <w:color w:val="auto"/>
          <w:sz w:val="32"/>
          <w:szCs w:val="32"/>
        </w:rPr>
      </w:pPr>
    </w:p>
    <w:p>
      <w:pPr>
        <w:spacing w:line="580" w:lineRule="exact"/>
        <w:rPr>
          <w:rFonts w:ascii="仿宋_GB2312" w:hAnsi="仿宋_GB2312" w:eastAsia="仿宋_GB2312" w:cs="仿宋_GB2312"/>
          <w:color w:val="auto"/>
          <w:sz w:val="32"/>
          <w:szCs w:val="32"/>
        </w:rPr>
      </w:pPr>
    </w:p>
    <w:p>
      <w:pPr>
        <w:spacing w:line="580" w:lineRule="exact"/>
        <w:ind w:left="0"/>
        <w:jc w:val="center"/>
        <w:rPr>
          <w:rFonts w:ascii="仿宋_GB2312" w:hAnsi="仿宋_GB2312" w:eastAsia="仿宋_GB2312" w:cs="仿宋_GB2312"/>
          <w:color w:val="auto"/>
          <w:kern w:val="2"/>
          <w:sz w:val="32"/>
          <w:szCs w:val="32"/>
        </w:rPr>
      </w:pPr>
      <w:r>
        <w:rPr>
          <w:rFonts w:hint="eastAsia" w:ascii="仿宋_GB2312" w:hAnsi="仿宋_GB2312" w:eastAsia="仿宋_GB2312" w:cs="仿宋_GB2312"/>
          <w:color w:val="auto"/>
          <w:kern w:val="2"/>
          <w:sz w:val="32"/>
          <w:szCs w:val="32"/>
        </w:rPr>
        <w:t>深圳公共资源交易中心</w:t>
      </w:r>
    </w:p>
    <w:p>
      <w:pPr>
        <w:spacing w:line="580" w:lineRule="exact"/>
        <w:ind w:left="0"/>
        <w:jc w:val="center"/>
        <w:rPr>
          <w:rFonts w:ascii="仿宋_GB2312" w:hAnsi="仿宋_GB2312" w:eastAsia="仿宋_GB2312" w:cs="仿宋_GB2312"/>
          <w:b/>
          <w:bCs/>
          <w:color w:val="auto"/>
          <w:sz w:val="32"/>
          <w:szCs w:val="32"/>
        </w:rPr>
      </w:pPr>
      <w:r>
        <w:rPr>
          <w:rFonts w:hint="eastAsia" w:ascii="仿宋_GB2312" w:hAnsi="仿宋_GB2312" w:eastAsia="仿宋_GB2312" w:cs="仿宋_GB2312"/>
          <w:color w:val="auto"/>
          <w:kern w:val="2"/>
          <w:sz w:val="32"/>
          <w:szCs w:val="32"/>
        </w:rPr>
        <w:t xml:space="preserve"> 202</w:t>
      </w:r>
      <w:r>
        <w:rPr>
          <w:rFonts w:hint="eastAsia" w:ascii="仿宋_GB2312" w:hAnsi="仿宋_GB2312" w:eastAsia="仿宋_GB2312" w:cs="仿宋_GB2312"/>
          <w:color w:val="auto"/>
          <w:kern w:val="2"/>
          <w:sz w:val="32"/>
          <w:szCs w:val="32"/>
          <w:lang w:val="en-US" w:eastAsia="zh-CN"/>
        </w:rPr>
        <w:t>3</w:t>
      </w:r>
      <w:r>
        <w:rPr>
          <w:rFonts w:hint="eastAsia" w:ascii="仿宋_GB2312" w:hAnsi="仿宋_GB2312" w:eastAsia="仿宋_GB2312" w:cs="仿宋_GB2312"/>
          <w:color w:val="auto"/>
          <w:kern w:val="2"/>
          <w:sz w:val="32"/>
          <w:szCs w:val="32"/>
        </w:rPr>
        <w:t>年</w:t>
      </w:r>
      <w:r>
        <w:rPr>
          <w:rFonts w:hint="eastAsia" w:ascii="仿宋_GB2312" w:hAnsi="仿宋_GB2312" w:eastAsia="仿宋_GB2312" w:cs="仿宋_GB2312"/>
          <w:color w:val="auto"/>
          <w:kern w:val="2"/>
          <w:sz w:val="32"/>
          <w:szCs w:val="32"/>
          <w:lang w:val="en-US" w:eastAsia="zh-CN"/>
        </w:rPr>
        <w:t>5</w:t>
      </w:r>
      <w:r>
        <w:rPr>
          <w:rFonts w:hint="eastAsia" w:ascii="仿宋_GB2312" w:hAnsi="仿宋_GB2312" w:eastAsia="仿宋_GB2312" w:cs="仿宋_GB2312"/>
          <w:color w:val="auto"/>
          <w:kern w:val="2"/>
          <w:sz w:val="32"/>
          <w:szCs w:val="32"/>
        </w:rPr>
        <w:t>月</w:t>
      </w:r>
    </w:p>
    <w:p>
      <w:pPr>
        <w:pStyle w:val="13"/>
        <w:spacing w:line="580" w:lineRule="exact"/>
        <w:rPr>
          <w:rFonts w:asciiTheme="majorEastAsia" w:hAnsiTheme="majorEastAsia" w:eastAsiaTheme="majorEastAsia" w:cstheme="majorEastAsia"/>
          <w:b/>
          <w:bCs/>
          <w:color w:val="auto"/>
          <w:sz w:val="32"/>
          <w:szCs w:val="32"/>
        </w:rPr>
      </w:pPr>
    </w:p>
    <w:p>
      <w:pPr>
        <w:pStyle w:val="6"/>
        <w:spacing w:line="580" w:lineRule="exact"/>
        <w:rPr>
          <w:color w:val="auto"/>
        </w:rPr>
      </w:pPr>
    </w:p>
    <w:p>
      <w:pPr>
        <w:spacing w:line="580" w:lineRule="exact"/>
        <w:jc w:val="center"/>
        <w:rPr>
          <w:rFonts w:ascii="黑体" w:hAnsi="黑体" w:eastAsia="黑体"/>
          <w:color w:val="auto"/>
          <w:kern w:val="2"/>
          <w:sz w:val="30"/>
          <w:szCs w:val="30"/>
        </w:rPr>
        <w:sectPr>
          <w:headerReference r:id="rId7" w:type="first"/>
          <w:footerReference r:id="rId10" w:type="first"/>
          <w:headerReference r:id="rId5" w:type="default"/>
          <w:footerReference r:id="rId8" w:type="default"/>
          <w:headerReference r:id="rId6" w:type="even"/>
          <w:footerReference r:id="rId9" w:type="even"/>
          <w:pgSz w:w="11906" w:h="16838"/>
          <w:pgMar w:top="2098" w:right="1474" w:bottom="1984" w:left="1587" w:header="850" w:footer="992" w:gutter="0"/>
          <w:pgNumType w:start="1"/>
          <w:cols w:space="720" w:num="1"/>
          <w:docGrid w:type="lines" w:linePitch="408" w:charSpace="0"/>
        </w:sectPr>
      </w:pPr>
      <w:bookmarkStart w:id="0" w:name="_Toc30474"/>
    </w:p>
    <w:bookmarkEnd w:id="0"/>
    <w:p>
      <w:pPr>
        <w:pStyle w:val="15"/>
        <w:tabs>
          <w:tab w:val="right" w:leader="dot" w:pos="8296"/>
        </w:tabs>
        <w:spacing w:line="580" w:lineRule="exact"/>
        <w:jc w:val="center"/>
        <w:rPr>
          <w:rFonts w:ascii="仿宋_GB2312" w:hAnsi="仿宋_GB2312" w:eastAsia="仿宋_GB2312" w:cs="仿宋_GB2312"/>
          <w:color w:val="auto"/>
          <w:kern w:val="2"/>
          <w:sz w:val="32"/>
          <w:szCs w:val="32"/>
        </w:rPr>
      </w:pPr>
      <w:r>
        <w:rPr>
          <w:rFonts w:hint="eastAsia" w:ascii="仿宋_GB2312" w:hAnsi="仿宋_GB2312" w:eastAsia="仿宋_GB2312" w:cs="仿宋_GB2312"/>
          <w:color w:val="auto"/>
          <w:kern w:val="2"/>
          <w:sz w:val="32"/>
          <w:szCs w:val="32"/>
        </w:rPr>
        <w:t>目   录</w:t>
      </w:r>
    </w:p>
    <w:p>
      <w:pPr>
        <w:pStyle w:val="15"/>
        <w:tabs>
          <w:tab w:val="right" w:leader="dot" w:pos="8844"/>
        </w:tabs>
        <w:spacing w:line="400" w:lineRule="exact"/>
        <w:jc w:val="both"/>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TOC \o "1-3" \h \u </w:instrText>
      </w:r>
      <w:r>
        <w:rPr>
          <w:rFonts w:hint="eastAsia" w:ascii="仿宋_GB2312" w:hAnsi="仿宋_GB2312" w:eastAsia="仿宋_GB2312" w:cs="仿宋_GB2312"/>
          <w:color w:val="auto"/>
          <w:sz w:val="32"/>
          <w:szCs w:val="32"/>
        </w:rPr>
        <w:fldChar w:fldCharType="separate"/>
      </w:r>
      <w:r>
        <w:rPr>
          <w:color w:val="auto"/>
        </w:rPr>
        <w:fldChar w:fldCharType="begin"/>
      </w:r>
      <w:r>
        <w:rPr>
          <w:color w:val="auto"/>
        </w:rPr>
        <w:instrText xml:space="preserve"> HYPERLINK \l "_Toc22397" </w:instrText>
      </w:r>
      <w:r>
        <w:rPr>
          <w:color w:val="auto"/>
        </w:rPr>
        <w:fldChar w:fldCharType="separate"/>
      </w:r>
      <w:r>
        <w:rPr>
          <w:rFonts w:hint="eastAsia" w:ascii="仿宋_GB2312" w:hAnsi="仿宋_GB2312" w:eastAsia="仿宋_GB2312" w:cs="仿宋_GB2312"/>
          <w:color w:val="auto"/>
          <w:kern w:val="2"/>
          <w:sz w:val="32"/>
          <w:szCs w:val="32"/>
        </w:rPr>
        <w:t>第一部分 谈判公告</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_Toc22397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"_Toc11891" </w:instrText>
      </w:r>
      <w:r>
        <w:rPr>
          <w:color w:val="auto"/>
        </w:rPr>
        <w:fldChar w:fldCharType="separate"/>
      </w:r>
      <w:r>
        <w:rPr>
          <w:rFonts w:hint="eastAsia" w:ascii="仿宋_GB2312" w:hAnsi="仿宋_GB2312" w:eastAsia="仿宋_GB2312" w:cs="仿宋_GB2312"/>
          <w:color w:val="auto"/>
          <w:kern w:val="2"/>
          <w:sz w:val="32"/>
          <w:szCs w:val="32"/>
        </w:rPr>
        <w:t>一、采购主体</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_Toc11891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"_Toc20660" </w:instrText>
      </w:r>
      <w:r>
        <w:rPr>
          <w:color w:val="auto"/>
        </w:rPr>
        <w:fldChar w:fldCharType="separate"/>
      </w:r>
      <w:r>
        <w:rPr>
          <w:rFonts w:hint="eastAsia" w:ascii="仿宋_GB2312" w:hAnsi="仿宋_GB2312" w:eastAsia="仿宋_GB2312" w:cs="仿宋_GB2312"/>
          <w:color w:val="auto"/>
          <w:kern w:val="2"/>
          <w:sz w:val="32"/>
          <w:szCs w:val="32"/>
        </w:rPr>
        <w:t>二、谈判品种</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_Toc20660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"_Toc28593" </w:instrText>
      </w:r>
      <w:r>
        <w:rPr>
          <w:color w:val="auto"/>
        </w:rPr>
        <w:fldChar w:fldCharType="separate"/>
      </w:r>
      <w:r>
        <w:rPr>
          <w:rFonts w:hint="eastAsia" w:ascii="仿宋_GB2312" w:hAnsi="仿宋_GB2312" w:eastAsia="仿宋_GB2312" w:cs="仿宋_GB2312"/>
          <w:color w:val="auto"/>
          <w:kern w:val="2"/>
          <w:sz w:val="32"/>
          <w:szCs w:val="32"/>
        </w:rPr>
        <w:t>三、谈判结果执行周期</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_Toc28593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"_Toc20456" </w:instrText>
      </w:r>
      <w:r>
        <w:rPr>
          <w:color w:val="auto"/>
        </w:rPr>
        <w:fldChar w:fldCharType="separate"/>
      </w:r>
      <w:r>
        <w:rPr>
          <w:rFonts w:hint="eastAsia" w:ascii="仿宋_GB2312" w:hAnsi="仿宋_GB2312" w:eastAsia="仿宋_GB2312" w:cs="仿宋_GB2312"/>
          <w:color w:val="auto"/>
          <w:kern w:val="2"/>
          <w:sz w:val="32"/>
          <w:szCs w:val="32"/>
        </w:rPr>
        <w:t>四、</w:t>
      </w:r>
      <w:r>
        <w:rPr>
          <w:rFonts w:hint="eastAsia" w:ascii="仿宋_GB2312" w:hAnsi="仿宋_GB2312" w:eastAsia="仿宋_GB2312" w:cs="仿宋_GB2312"/>
          <w:color w:val="auto"/>
          <w:sz w:val="32"/>
          <w:szCs w:val="32"/>
          <w:shd w:val="clear" w:color="auto" w:fill="FFFFFF"/>
        </w:rPr>
        <w:t>申报资格要求</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_Toc20456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2</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"_Toc19562" </w:instrText>
      </w:r>
      <w:r>
        <w:rPr>
          <w:color w:val="auto"/>
        </w:rPr>
        <w:fldChar w:fldCharType="separate"/>
      </w:r>
      <w:r>
        <w:rPr>
          <w:rFonts w:hint="eastAsia" w:ascii="仿宋_GB2312" w:hAnsi="仿宋_GB2312" w:eastAsia="仿宋_GB2312" w:cs="仿宋_GB2312"/>
          <w:color w:val="auto"/>
          <w:kern w:val="2"/>
          <w:sz w:val="32"/>
          <w:szCs w:val="32"/>
        </w:rPr>
        <w:t>五、采购文件获取方式</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_Toc19562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3</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"_Toc16734" </w:instrText>
      </w:r>
      <w:r>
        <w:rPr>
          <w:color w:val="auto"/>
        </w:rPr>
        <w:fldChar w:fldCharType="separate"/>
      </w:r>
      <w:r>
        <w:rPr>
          <w:rFonts w:hint="eastAsia" w:ascii="仿宋_GB2312" w:hAnsi="仿宋_GB2312" w:eastAsia="仿宋_GB2312" w:cs="仿宋_GB2312"/>
          <w:color w:val="auto"/>
          <w:kern w:val="2"/>
          <w:sz w:val="32"/>
          <w:szCs w:val="32"/>
        </w:rPr>
        <w:t>六、报名方式</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_Toc16734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4</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"_Toc7497" </w:instrText>
      </w:r>
      <w:r>
        <w:rPr>
          <w:color w:val="auto"/>
        </w:rPr>
        <w:fldChar w:fldCharType="separate"/>
      </w:r>
      <w:r>
        <w:rPr>
          <w:rFonts w:hint="eastAsia" w:ascii="仿宋_GB2312" w:hAnsi="仿宋_GB2312" w:eastAsia="仿宋_GB2312" w:cs="仿宋_GB2312"/>
          <w:color w:val="auto"/>
          <w:kern w:val="2"/>
          <w:sz w:val="32"/>
          <w:szCs w:val="32"/>
        </w:rPr>
        <w:t>七、谈判方式和时间</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_Toc7497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4</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"_Toc10918" </w:instrText>
      </w:r>
      <w:r>
        <w:rPr>
          <w:color w:val="auto"/>
        </w:rPr>
        <w:fldChar w:fldCharType="separate"/>
      </w:r>
      <w:r>
        <w:rPr>
          <w:rFonts w:hint="eastAsia" w:ascii="仿宋_GB2312" w:hAnsi="仿宋_GB2312" w:eastAsia="仿宋_GB2312" w:cs="仿宋_GB2312"/>
          <w:color w:val="auto"/>
          <w:kern w:val="2"/>
          <w:sz w:val="32"/>
          <w:szCs w:val="32"/>
        </w:rPr>
        <w:t>八、信息公开方式</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_Toc10918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5</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"_Toc27362" </w:instrText>
      </w:r>
      <w:r>
        <w:rPr>
          <w:color w:val="auto"/>
        </w:rPr>
        <w:fldChar w:fldCharType="separate"/>
      </w:r>
      <w:r>
        <w:rPr>
          <w:rFonts w:hint="eastAsia" w:ascii="仿宋_GB2312" w:hAnsi="仿宋_GB2312" w:eastAsia="仿宋_GB2312" w:cs="仿宋_GB2312"/>
          <w:color w:val="auto"/>
          <w:kern w:val="2"/>
          <w:sz w:val="32"/>
          <w:szCs w:val="32"/>
        </w:rPr>
        <w:t>九、联系方式</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_Toc27362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5</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"_Toc20005" </w:instrText>
      </w:r>
      <w:r>
        <w:rPr>
          <w:color w:val="auto"/>
        </w:rPr>
        <w:fldChar w:fldCharType="separate"/>
      </w:r>
      <w:r>
        <w:rPr>
          <w:rFonts w:hint="eastAsia" w:ascii="仿宋_GB2312" w:hAnsi="仿宋_GB2312" w:eastAsia="仿宋_GB2312" w:cs="仿宋_GB2312"/>
          <w:color w:val="auto"/>
          <w:kern w:val="2"/>
          <w:sz w:val="32"/>
          <w:szCs w:val="32"/>
        </w:rPr>
        <w:t>十、其他</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_Toc20005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5</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5"/>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"_Toc24996" </w:instrText>
      </w:r>
      <w:r>
        <w:rPr>
          <w:color w:val="auto"/>
        </w:rPr>
        <w:fldChar w:fldCharType="separate"/>
      </w:r>
      <w:r>
        <w:rPr>
          <w:rFonts w:hint="eastAsia" w:ascii="仿宋_GB2312" w:hAnsi="仿宋_GB2312" w:eastAsia="仿宋_GB2312" w:cs="仿宋_GB2312"/>
          <w:color w:val="auto"/>
          <w:kern w:val="2"/>
          <w:sz w:val="32"/>
          <w:szCs w:val="32"/>
        </w:rPr>
        <w:t>第二部分 谈判企业须知</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_Toc24996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7</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"_Toc13252" </w:instrText>
      </w:r>
      <w:r>
        <w:rPr>
          <w:color w:val="auto"/>
        </w:rPr>
        <w:fldChar w:fldCharType="separate"/>
      </w:r>
      <w:r>
        <w:rPr>
          <w:rFonts w:hint="eastAsia" w:ascii="仿宋_GB2312" w:hAnsi="仿宋_GB2312" w:eastAsia="仿宋_GB2312" w:cs="仿宋_GB2312"/>
          <w:color w:val="auto"/>
          <w:kern w:val="2"/>
          <w:sz w:val="32"/>
          <w:szCs w:val="32"/>
        </w:rPr>
        <w:t>一、产品类别、谈判基准价及谈判目标价</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_Toc13252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7</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"_Toc2620" </w:instrText>
      </w:r>
      <w:r>
        <w:rPr>
          <w:color w:val="auto"/>
        </w:rPr>
        <w:fldChar w:fldCharType="separate"/>
      </w:r>
      <w:r>
        <w:rPr>
          <w:rFonts w:hint="eastAsia" w:ascii="仿宋_GB2312" w:hAnsi="仿宋_GB2312" w:eastAsia="仿宋_GB2312" w:cs="仿宋_GB2312"/>
          <w:color w:val="auto"/>
          <w:kern w:val="2"/>
          <w:sz w:val="32"/>
          <w:szCs w:val="32"/>
        </w:rPr>
        <w:t>二、报价规则</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_Toc2620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7</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"_Toc2105" </w:instrText>
      </w:r>
      <w:r>
        <w:rPr>
          <w:color w:val="auto"/>
        </w:rPr>
        <w:fldChar w:fldCharType="separate"/>
      </w:r>
      <w:r>
        <w:rPr>
          <w:rFonts w:hint="eastAsia" w:ascii="仿宋_GB2312" w:hAnsi="仿宋_GB2312" w:eastAsia="仿宋_GB2312" w:cs="仿宋_GB2312"/>
          <w:color w:val="auto"/>
          <w:kern w:val="2"/>
          <w:sz w:val="32"/>
          <w:szCs w:val="32"/>
        </w:rPr>
        <w:t>三、报价信息解密</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_Toc2105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9</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"_Toc4676" </w:instrText>
      </w:r>
      <w:r>
        <w:rPr>
          <w:color w:val="auto"/>
        </w:rPr>
        <w:fldChar w:fldCharType="separate"/>
      </w:r>
      <w:r>
        <w:rPr>
          <w:rFonts w:hint="eastAsia" w:ascii="仿宋_GB2312" w:hAnsi="仿宋_GB2312" w:eastAsia="仿宋_GB2312" w:cs="仿宋_GB2312"/>
          <w:color w:val="auto"/>
          <w:kern w:val="2"/>
          <w:sz w:val="32"/>
          <w:szCs w:val="32"/>
        </w:rPr>
        <w:t>四、拟中选规则及备选产品</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_Toc4676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9</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"_Toc3979" </w:instrText>
      </w:r>
      <w:r>
        <w:rPr>
          <w:color w:val="auto"/>
        </w:rPr>
        <w:fldChar w:fldCharType="separate"/>
      </w:r>
      <w:r>
        <w:rPr>
          <w:rFonts w:hint="eastAsia" w:ascii="仿宋_GB2312" w:hAnsi="仿宋_GB2312" w:eastAsia="仿宋_GB2312" w:cs="仿宋_GB2312"/>
          <w:color w:val="auto"/>
          <w:kern w:val="2"/>
          <w:sz w:val="32"/>
          <w:szCs w:val="32"/>
        </w:rPr>
        <w:t>五、结果公示（公告）</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_Toc3979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9</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"_Toc3889" </w:instrText>
      </w:r>
      <w:r>
        <w:rPr>
          <w:color w:val="auto"/>
        </w:rPr>
        <w:fldChar w:fldCharType="separate"/>
      </w:r>
      <w:r>
        <w:rPr>
          <w:rFonts w:hint="eastAsia" w:ascii="仿宋_GB2312" w:hAnsi="仿宋_GB2312" w:eastAsia="仿宋_GB2312" w:cs="仿宋_GB2312"/>
          <w:color w:val="auto"/>
          <w:kern w:val="2"/>
          <w:sz w:val="32"/>
          <w:szCs w:val="32"/>
        </w:rPr>
        <w:t>六、申（投）诉处理</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_Toc3889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9</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"_Toc3259" </w:instrText>
      </w:r>
      <w:r>
        <w:rPr>
          <w:color w:val="auto"/>
        </w:rPr>
        <w:fldChar w:fldCharType="separate"/>
      </w:r>
      <w:r>
        <w:rPr>
          <w:rFonts w:hint="eastAsia" w:ascii="仿宋_GB2312" w:hAnsi="仿宋_GB2312" w:eastAsia="仿宋_GB2312" w:cs="仿宋_GB2312"/>
          <w:color w:val="auto"/>
          <w:kern w:val="2"/>
          <w:sz w:val="32"/>
          <w:szCs w:val="32"/>
        </w:rPr>
        <w:t>七、采购执行说明</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_Toc3259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10</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"_Toc13785" </w:instrText>
      </w:r>
      <w:r>
        <w:rPr>
          <w:color w:val="auto"/>
        </w:rPr>
        <w:fldChar w:fldCharType="separate"/>
      </w:r>
      <w:r>
        <w:rPr>
          <w:rFonts w:hint="eastAsia" w:ascii="仿宋_GB2312" w:hAnsi="仿宋_GB2312" w:eastAsia="仿宋_GB2312" w:cs="仿宋_GB2312"/>
          <w:color w:val="auto"/>
          <w:kern w:val="2"/>
          <w:sz w:val="32"/>
          <w:szCs w:val="32"/>
        </w:rPr>
        <w:t>八、动态调整机制</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_Toc13785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11</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"_Toc20413" </w:instrText>
      </w:r>
      <w:r>
        <w:rPr>
          <w:color w:val="auto"/>
        </w:rPr>
        <w:fldChar w:fldCharType="separate"/>
      </w:r>
      <w:r>
        <w:rPr>
          <w:rFonts w:hint="eastAsia" w:ascii="仿宋_GB2312" w:hAnsi="仿宋_GB2312" w:eastAsia="仿宋_GB2312" w:cs="仿宋_GB2312"/>
          <w:color w:val="auto"/>
          <w:kern w:val="2"/>
          <w:sz w:val="32"/>
          <w:szCs w:val="32"/>
        </w:rPr>
        <w:t>九、交易管理</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_Toc20413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12</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"_Toc4875" </w:instrText>
      </w:r>
      <w:r>
        <w:rPr>
          <w:color w:val="auto"/>
        </w:rPr>
        <w:fldChar w:fldCharType="separate"/>
      </w:r>
      <w:r>
        <w:rPr>
          <w:rFonts w:hint="eastAsia" w:ascii="仿宋_GB2312" w:hAnsi="仿宋_GB2312" w:eastAsia="仿宋_GB2312" w:cs="仿宋_GB2312"/>
          <w:color w:val="auto"/>
          <w:kern w:val="2"/>
          <w:sz w:val="32"/>
          <w:szCs w:val="32"/>
        </w:rPr>
        <w:t>十、其他</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_Toc4875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13</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5"/>
        <w:tabs>
          <w:tab w:val="right" w:leader="dot" w:pos="8844"/>
        </w:tabs>
        <w:spacing w:line="400" w:lineRule="exact"/>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"_Toc25632" </w:instrText>
      </w:r>
      <w:r>
        <w:rPr>
          <w:color w:val="auto"/>
        </w:rPr>
        <w:fldChar w:fldCharType="separate"/>
      </w:r>
      <w:r>
        <w:rPr>
          <w:rFonts w:hint="eastAsia" w:ascii="仿宋_GB2312" w:hAnsi="仿宋_GB2312" w:eastAsia="仿宋_GB2312" w:cs="仿宋_GB2312"/>
          <w:color w:val="auto"/>
          <w:kern w:val="2"/>
          <w:sz w:val="32"/>
          <w:szCs w:val="32"/>
        </w:rPr>
        <w:t>第三部分 附件</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_Toc25632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15</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5"/>
        <w:tabs>
          <w:tab w:val="right" w:leader="dot" w:pos="8844"/>
        </w:tabs>
        <w:spacing w:line="400" w:lineRule="exact"/>
        <w:ind w:firstLine="240" w:firstLineChars="100"/>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"_Toc30226" </w:instrText>
      </w:r>
      <w:r>
        <w:rPr>
          <w:color w:val="auto"/>
        </w:rPr>
        <w:fldChar w:fldCharType="separate"/>
      </w:r>
      <w:r>
        <w:rPr>
          <w:rFonts w:hint="eastAsia" w:ascii="仿宋_GB2312" w:hAnsi="仿宋_GB2312" w:eastAsia="仿宋_GB2312" w:cs="仿宋_GB2312"/>
          <w:color w:val="auto"/>
          <w:kern w:val="2"/>
          <w:sz w:val="32"/>
          <w:szCs w:val="32"/>
        </w:rPr>
        <w:t>附件1：承诺函</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_Toc30226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15</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15"/>
        <w:tabs>
          <w:tab w:val="right" w:leader="dot" w:pos="8844"/>
        </w:tabs>
        <w:spacing w:line="400" w:lineRule="exact"/>
        <w:ind w:firstLine="240" w:firstLineChars="100"/>
        <w:jc w:val="both"/>
        <w:rPr>
          <w:rFonts w:ascii="仿宋_GB2312" w:hAnsi="仿宋_GB2312" w:eastAsia="仿宋_GB2312" w:cs="仿宋_GB2312"/>
          <w:color w:val="auto"/>
          <w:sz w:val="32"/>
          <w:szCs w:val="32"/>
        </w:rPr>
      </w:pPr>
      <w:r>
        <w:rPr>
          <w:color w:val="auto"/>
        </w:rPr>
        <w:fldChar w:fldCharType="begin"/>
      </w:r>
      <w:r>
        <w:rPr>
          <w:color w:val="auto"/>
        </w:rPr>
        <w:instrText xml:space="preserve"> HYPERLINK \l "_Toc28187" </w:instrText>
      </w:r>
      <w:r>
        <w:rPr>
          <w:color w:val="auto"/>
        </w:rPr>
        <w:fldChar w:fldCharType="separate"/>
      </w:r>
      <w:r>
        <w:rPr>
          <w:rFonts w:hint="eastAsia" w:ascii="仿宋_GB2312" w:hAnsi="仿宋_GB2312" w:eastAsia="仿宋_GB2312" w:cs="仿宋_GB2312"/>
          <w:color w:val="auto"/>
          <w:kern w:val="2"/>
          <w:sz w:val="32"/>
          <w:szCs w:val="32"/>
        </w:rPr>
        <w:t>附件2：医疗机构医用耗材价格优势专区采购合同</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_Toc28187 \h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18</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pPr>
        <w:pStyle w:val="3"/>
        <w:keepNext w:val="0"/>
        <w:keepLines w:val="0"/>
        <w:widowControl/>
        <w:adjustRightInd w:val="0"/>
        <w:snapToGrid w:val="0"/>
        <w:spacing w:after="163" w:afterLines="50" w:line="560" w:lineRule="exact"/>
        <w:ind w:left="0" w:firstLine="880" w:firstLineChars="200"/>
        <w:jc w:val="center"/>
        <w:rPr>
          <w:rFonts w:ascii="方正小标宋简体" w:hAnsi="方正小标宋简体" w:eastAsia="方正小标宋简体" w:cs="方正小标宋简体"/>
          <w:b w:val="0"/>
          <w:bCs w:val="0"/>
          <w:color w:val="auto"/>
          <w:kern w:val="2"/>
        </w:rPr>
        <w:sectPr>
          <w:headerReference r:id="rId11" w:type="default"/>
          <w:footerReference r:id="rId12" w:type="default"/>
          <w:pgSz w:w="11906" w:h="16838"/>
          <w:pgMar w:top="2098" w:right="1474" w:bottom="1984" w:left="1587" w:header="851" w:footer="992" w:gutter="0"/>
          <w:cols w:space="425" w:num="1"/>
          <w:docGrid w:type="lines" w:linePitch="326" w:charSpace="0"/>
        </w:sectPr>
      </w:pPr>
      <w:bookmarkStart w:id="1" w:name="_Toc31029"/>
      <w:bookmarkStart w:id="2" w:name="_Toc22397"/>
      <w:bookmarkStart w:id="3" w:name="_Toc15034"/>
      <w:bookmarkStart w:id="4" w:name="_Toc14364"/>
    </w:p>
    <w:p>
      <w:pPr>
        <w:pStyle w:val="3"/>
        <w:keepNext w:val="0"/>
        <w:keepLines w:val="0"/>
        <w:widowControl/>
        <w:adjustRightInd w:val="0"/>
        <w:snapToGrid w:val="0"/>
        <w:spacing w:after="163" w:afterLines="50" w:line="560" w:lineRule="exact"/>
        <w:ind w:left="0"/>
        <w:jc w:val="center"/>
        <w:rPr>
          <w:rFonts w:ascii="仿宋_GB2312" w:hAnsi="仿宋_GB2312" w:eastAsia="仿宋_GB2312" w:cs="仿宋_GB2312"/>
          <w:color w:val="auto"/>
          <w:sz w:val="32"/>
          <w:szCs w:val="32"/>
        </w:rPr>
      </w:pPr>
      <w:r>
        <w:rPr>
          <w:rFonts w:hint="eastAsia" w:ascii="方正小标宋简体" w:hAnsi="方正小标宋简体" w:eastAsia="方正小标宋简体" w:cs="方正小标宋简体"/>
          <w:b w:val="0"/>
          <w:bCs w:val="0"/>
          <w:color w:val="auto"/>
          <w:kern w:val="2"/>
        </w:rPr>
        <w:t xml:space="preserve">第一部分 </w:t>
      </w:r>
      <w:bookmarkEnd w:id="1"/>
      <w:r>
        <w:rPr>
          <w:rFonts w:hint="eastAsia" w:ascii="方正小标宋简体" w:hAnsi="方正小标宋简体" w:eastAsia="方正小标宋简体" w:cs="方正小标宋简体"/>
          <w:b w:val="0"/>
          <w:bCs w:val="0"/>
          <w:color w:val="auto"/>
          <w:kern w:val="2"/>
        </w:rPr>
        <w:t>谈判公告</w:t>
      </w:r>
      <w:bookmarkEnd w:id="2"/>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为推进我市医用耗材价格谈判工作，促进医用耗材价格合理回归，减轻人民群众负担，根据《深圳市推进公立医疗机构医用耗材阳光交易工作实施方案》（深治耗办〔2020〕1号）和《深圳市医疗保障局关于进一步完善医用耗材分类集中采购支持深圳阳光平台开展价格谈判的通知》（深医保规〔2021〕6号）等文件精神，在深圳市医疗保障局和深圳市医疗保险基金管理中心的监督指导下，深圳公共资源交易中心（以下简称交易中心）通过深圳医用耗材阳光交易和监管平台（以下简称深圳阳光平台）组织开展</w:t>
      </w:r>
      <w:r>
        <w:rPr>
          <w:rFonts w:hint="eastAsia" w:ascii="仿宋_GB2312" w:hAnsi="仿宋_GB2312" w:eastAsia="仿宋_GB2312" w:cs="仿宋_GB2312"/>
          <w:color w:val="auto"/>
          <w:sz w:val="32"/>
          <w:szCs w:val="32"/>
          <w:lang w:eastAsia="zh-CN"/>
        </w:rPr>
        <w:t>泌尿介入导丝等五类医用耗材</w:t>
      </w:r>
      <w:r>
        <w:rPr>
          <w:rFonts w:hint="eastAsia" w:ascii="仿宋_GB2312" w:hAnsi="仿宋_GB2312" w:eastAsia="仿宋_GB2312" w:cs="仿宋_GB2312"/>
          <w:color w:val="auto"/>
          <w:sz w:val="32"/>
          <w:szCs w:val="32"/>
        </w:rPr>
        <w:t>价格谈判工作。</w:t>
      </w:r>
    </w:p>
    <w:p>
      <w:pPr>
        <w:spacing w:line="560" w:lineRule="exact"/>
        <w:ind w:left="0" w:firstLine="640" w:firstLineChars="200"/>
        <w:jc w:val="both"/>
        <w:outlineLvl w:val="1"/>
        <w:rPr>
          <w:rFonts w:ascii="黑体" w:hAnsi="黑体" w:eastAsia="黑体" w:cs="黑体"/>
          <w:color w:val="auto"/>
          <w:kern w:val="2"/>
          <w:sz w:val="32"/>
          <w:szCs w:val="32"/>
        </w:rPr>
      </w:pPr>
      <w:bookmarkStart w:id="5" w:name="_Toc26689"/>
      <w:bookmarkStart w:id="6" w:name="_Toc24718"/>
      <w:bookmarkStart w:id="7" w:name="_Toc11891"/>
      <w:r>
        <w:rPr>
          <w:rFonts w:hint="eastAsia" w:ascii="黑体" w:hAnsi="黑体" w:eastAsia="黑体" w:cs="黑体"/>
          <w:color w:val="auto"/>
          <w:kern w:val="2"/>
          <w:sz w:val="32"/>
          <w:szCs w:val="32"/>
        </w:rPr>
        <w:t>一、采购主体</w:t>
      </w:r>
      <w:bookmarkEnd w:id="5"/>
      <w:bookmarkEnd w:id="6"/>
      <w:bookmarkEnd w:id="7"/>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全市各类公立医疗机构均应参加，非公立医疗机构自愿参加。</w:t>
      </w:r>
    </w:p>
    <w:p>
      <w:pPr>
        <w:spacing w:line="560" w:lineRule="exact"/>
        <w:ind w:left="0" w:firstLine="640" w:firstLineChars="200"/>
        <w:jc w:val="both"/>
        <w:outlineLvl w:val="1"/>
        <w:rPr>
          <w:rFonts w:ascii="黑体" w:hAnsi="黑体" w:eastAsia="黑体" w:cs="黑体"/>
          <w:color w:val="auto"/>
          <w:kern w:val="2"/>
          <w:sz w:val="32"/>
          <w:szCs w:val="32"/>
        </w:rPr>
      </w:pPr>
      <w:bookmarkStart w:id="8" w:name="_Toc20660"/>
      <w:bookmarkStart w:id="9" w:name="_Toc831"/>
      <w:bookmarkStart w:id="10" w:name="_Toc2493"/>
      <w:r>
        <w:rPr>
          <w:rFonts w:hint="eastAsia" w:ascii="黑体" w:hAnsi="黑体" w:eastAsia="黑体" w:cs="黑体"/>
          <w:color w:val="auto"/>
          <w:kern w:val="2"/>
          <w:sz w:val="32"/>
          <w:szCs w:val="32"/>
        </w:rPr>
        <w:t>二、谈判品种</w:t>
      </w:r>
      <w:bookmarkEnd w:id="8"/>
      <w:bookmarkEnd w:id="9"/>
      <w:bookmarkEnd w:id="10"/>
    </w:p>
    <w:p>
      <w:pPr>
        <w:pStyle w:val="19"/>
        <w:shd w:val="clear" w:color="auto" w:fill="FFFFFF"/>
        <w:spacing w:beforeAutospacing="0" w:afterAutospacing="0" w:line="560" w:lineRule="atLeast"/>
        <w:ind w:left="0" w:leftChars="0" w:firstLine="634" w:firstLineChars="0"/>
        <w:rPr>
          <w:rFonts w:ascii="仿宋_GB2312" w:eastAsia="仿宋_GB2312" w:cs="仿宋_GB2312"/>
          <w:color w:val="auto"/>
          <w:sz w:val="32"/>
          <w:szCs w:val="32"/>
          <w:shd w:val="clear" w:color="auto" w:fill="FFFFFF"/>
          <w:lang w:bidi="ar"/>
        </w:rPr>
      </w:pPr>
      <w:bookmarkStart w:id="11" w:name="_Toc32702"/>
      <w:bookmarkStart w:id="12" w:name="_Toc18203"/>
      <w:bookmarkStart w:id="13" w:name="_Toc28593"/>
      <w:r>
        <w:rPr>
          <w:rFonts w:hint="eastAsia" w:ascii="仿宋_GB2312" w:hAnsi="Calibri" w:eastAsia="仿宋_GB2312"/>
          <w:color w:val="auto"/>
          <w:sz w:val="32"/>
          <w:szCs w:val="32"/>
        </w:rPr>
        <w:t>本次医用耗材价格谈判的品种为已获得国家医保医用耗材代码的泌尿介入导丝</w:t>
      </w:r>
      <w:r>
        <w:rPr>
          <w:rFonts w:hint="eastAsia" w:ascii="仿宋_GB2312" w:hAnsi="Calibri" w:eastAsia="仿宋_GB2312"/>
          <w:color w:val="auto"/>
          <w:sz w:val="32"/>
          <w:szCs w:val="32"/>
          <w:lang w:eastAsia="zh-CN"/>
        </w:rPr>
        <w:t>、</w:t>
      </w:r>
      <w:r>
        <w:rPr>
          <w:rFonts w:hint="eastAsia" w:ascii="仿宋_GB2312" w:hAnsi="Calibri" w:eastAsia="仿宋_GB2312"/>
          <w:color w:val="auto"/>
          <w:sz w:val="32"/>
          <w:szCs w:val="32"/>
        </w:rPr>
        <w:t>泌尿取石网篮</w:t>
      </w:r>
      <w:r>
        <w:rPr>
          <w:rFonts w:hint="eastAsia" w:ascii="仿宋_GB2312" w:hAnsi="Calibri" w:eastAsia="仿宋_GB2312"/>
          <w:color w:val="auto"/>
          <w:sz w:val="32"/>
          <w:szCs w:val="32"/>
          <w:lang w:eastAsia="zh-CN"/>
        </w:rPr>
        <w:t>、</w:t>
      </w:r>
      <w:r>
        <w:rPr>
          <w:rFonts w:hint="eastAsia" w:ascii="仿宋_GB2312" w:hAnsi="Calibri" w:eastAsia="仿宋_GB2312"/>
          <w:color w:val="auto"/>
          <w:sz w:val="32"/>
          <w:szCs w:val="32"/>
        </w:rPr>
        <w:t>泌尿介入鞘</w:t>
      </w:r>
      <w:r>
        <w:rPr>
          <w:rFonts w:hint="eastAsia" w:ascii="仿宋_GB2312" w:hAnsi="Calibri" w:eastAsia="仿宋_GB2312"/>
          <w:color w:val="auto"/>
          <w:sz w:val="32"/>
          <w:szCs w:val="32"/>
          <w:lang w:eastAsia="zh-CN"/>
        </w:rPr>
        <w:t>、</w:t>
      </w:r>
      <w:r>
        <w:rPr>
          <w:rFonts w:hint="eastAsia" w:ascii="仿宋_GB2312" w:hAnsi="Calibri" w:eastAsia="仿宋_GB2312"/>
          <w:color w:val="auto"/>
          <w:sz w:val="32"/>
          <w:szCs w:val="32"/>
        </w:rPr>
        <w:t>泌尿介入封堵器</w:t>
      </w:r>
      <w:r>
        <w:rPr>
          <w:rFonts w:hint="eastAsia" w:ascii="仿宋_GB2312" w:hAnsi="Calibri" w:eastAsia="仿宋_GB2312"/>
          <w:color w:val="auto"/>
          <w:sz w:val="32"/>
          <w:szCs w:val="32"/>
          <w:lang w:eastAsia="zh-CN"/>
        </w:rPr>
        <w:t>、</w:t>
      </w:r>
      <w:r>
        <w:rPr>
          <w:rFonts w:hint="eastAsia" w:ascii="仿宋_GB2312" w:hAnsi="Calibri" w:eastAsia="仿宋_GB2312"/>
          <w:color w:val="auto"/>
          <w:sz w:val="32"/>
          <w:szCs w:val="32"/>
          <w:lang w:val="en-US" w:eastAsia="zh-CN"/>
        </w:rPr>
        <w:t>输尿管成像</w:t>
      </w:r>
      <w:r>
        <w:rPr>
          <w:rFonts w:hint="eastAsia" w:ascii="仿宋_GB2312" w:hAnsi="Calibri" w:eastAsia="仿宋_GB2312"/>
          <w:color w:val="auto"/>
          <w:sz w:val="32"/>
          <w:szCs w:val="32"/>
        </w:rPr>
        <w:t>导管等</w:t>
      </w:r>
      <w:r>
        <w:rPr>
          <w:rFonts w:hint="eastAsia" w:ascii="仿宋_GB2312" w:hAnsi="Calibri" w:eastAsia="仿宋_GB2312"/>
          <w:color w:val="auto"/>
          <w:sz w:val="32"/>
          <w:szCs w:val="32"/>
          <w:lang w:val="en-US" w:eastAsia="zh-CN"/>
        </w:rPr>
        <w:t>五</w:t>
      </w:r>
      <w:r>
        <w:rPr>
          <w:rFonts w:hint="eastAsia" w:ascii="仿宋_GB2312" w:hAnsi="Calibri" w:eastAsia="仿宋_GB2312"/>
          <w:color w:val="auto"/>
          <w:sz w:val="32"/>
          <w:szCs w:val="32"/>
        </w:rPr>
        <w:t>类医用耗材。具体范围如下：</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31"/>
        <w:gridCol w:w="1231"/>
        <w:gridCol w:w="4473"/>
        <w:gridCol w:w="15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1231" w:type="dxa"/>
            <w:noWrap w:val="0"/>
            <w:vAlign w:val="center"/>
          </w:tcPr>
          <w:p>
            <w:pPr>
              <w:ind w:left="0" w:leftChars="0" w:firstLine="0" w:firstLineChars="0"/>
              <w:jc w:val="center"/>
              <w:rPr>
                <w:rFonts w:hint="eastAsia" w:ascii="仿宋_GB2312" w:hAnsi="仿宋_GB2312" w:eastAsia="仿宋_GB2312" w:cs="仿宋_GB2312"/>
                <w:b/>
                <w:bCs/>
                <w:color w:val="auto"/>
                <w:sz w:val="21"/>
                <w:szCs w:val="21"/>
                <w:lang w:val="en-US" w:eastAsia="zh-CN"/>
              </w:rPr>
            </w:pPr>
            <w:r>
              <w:rPr>
                <w:rFonts w:hint="eastAsia" w:ascii="仿宋_GB2312" w:hAnsi="仿宋_GB2312" w:eastAsia="仿宋_GB2312" w:cs="仿宋_GB2312"/>
                <w:b/>
                <w:bCs/>
                <w:color w:val="auto"/>
                <w:sz w:val="21"/>
                <w:szCs w:val="21"/>
                <w:lang w:val="en-US" w:eastAsia="zh-CN"/>
              </w:rPr>
              <w:t>序号</w:t>
            </w:r>
          </w:p>
        </w:tc>
        <w:tc>
          <w:tcPr>
            <w:tcW w:w="1231" w:type="dxa"/>
            <w:noWrap w:val="0"/>
            <w:vAlign w:val="center"/>
          </w:tcPr>
          <w:p>
            <w:pPr>
              <w:ind w:left="0" w:leftChars="0" w:firstLine="0" w:firstLineChars="0"/>
              <w:jc w:val="center"/>
              <w:rPr>
                <w:rFonts w:hint="eastAsia" w:ascii="仿宋_GB2312" w:hAnsi="仿宋_GB2312" w:eastAsia="仿宋_GB2312" w:cs="仿宋_GB2312"/>
                <w:b/>
                <w:bCs/>
                <w:color w:val="auto"/>
                <w:sz w:val="21"/>
                <w:szCs w:val="21"/>
                <w:lang w:val="en-US" w:eastAsia="zh-CN"/>
              </w:rPr>
            </w:pPr>
            <w:r>
              <w:rPr>
                <w:rFonts w:hint="eastAsia" w:ascii="仿宋_GB2312" w:hAnsi="仿宋_GB2312" w:eastAsia="仿宋_GB2312" w:cs="仿宋_GB2312"/>
                <w:b/>
                <w:bCs/>
                <w:color w:val="auto"/>
                <w:sz w:val="21"/>
                <w:szCs w:val="21"/>
                <w:lang w:val="en-US" w:eastAsia="zh-CN"/>
              </w:rPr>
              <w:t>品种</w:t>
            </w:r>
          </w:p>
          <w:p>
            <w:pPr>
              <w:ind w:left="0" w:leftChars="0" w:firstLine="0" w:firstLineChars="0"/>
              <w:jc w:val="center"/>
              <w:rPr>
                <w:rFonts w:hint="eastAsia" w:ascii="仿宋_GB2312" w:hAnsi="仿宋_GB2312" w:eastAsia="仿宋_GB2312" w:cs="仿宋_GB2312"/>
                <w:b/>
                <w:bCs/>
                <w:color w:val="auto"/>
                <w:sz w:val="21"/>
                <w:szCs w:val="21"/>
                <w:lang w:val="en-US" w:eastAsia="zh-CN"/>
              </w:rPr>
            </w:pPr>
            <w:r>
              <w:rPr>
                <w:rFonts w:hint="eastAsia" w:ascii="仿宋_GB2312" w:hAnsi="仿宋_GB2312" w:eastAsia="仿宋_GB2312" w:cs="仿宋_GB2312"/>
                <w:b/>
                <w:bCs/>
                <w:color w:val="auto"/>
                <w:sz w:val="21"/>
                <w:szCs w:val="21"/>
                <w:lang w:val="en-US" w:eastAsia="zh-CN"/>
              </w:rPr>
              <w:t>名称</w:t>
            </w:r>
          </w:p>
        </w:tc>
        <w:tc>
          <w:tcPr>
            <w:tcW w:w="4473" w:type="dxa"/>
            <w:noWrap w:val="0"/>
            <w:vAlign w:val="center"/>
          </w:tcPr>
          <w:p>
            <w:pPr>
              <w:ind w:left="0" w:leftChars="0" w:firstLine="0" w:firstLineChars="0"/>
              <w:jc w:val="center"/>
              <w:rPr>
                <w:rFonts w:hint="eastAsia" w:ascii="仿宋_GB2312" w:hAnsi="仿宋_GB2312" w:eastAsia="仿宋_GB2312" w:cs="仿宋_GB2312"/>
                <w:b/>
                <w:bCs/>
                <w:color w:val="auto"/>
                <w:sz w:val="21"/>
                <w:szCs w:val="21"/>
                <w:lang w:val="en-US" w:eastAsia="zh-CN"/>
              </w:rPr>
            </w:pPr>
            <w:r>
              <w:rPr>
                <w:rFonts w:hint="eastAsia" w:ascii="仿宋_GB2312" w:hAnsi="仿宋_GB2312" w:eastAsia="仿宋_GB2312" w:cs="仿宋_GB2312"/>
                <w:b/>
                <w:bCs/>
                <w:color w:val="auto"/>
                <w:sz w:val="21"/>
                <w:szCs w:val="21"/>
                <w:lang w:val="en-US" w:eastAsia="zh-CN"/>
              </w:rPr>
              <w:t>品种特征描述</w:t>
            </w:r>
          </w:p>
        </w:tc>
        <w:tc>
          <w:tcPr>
            <w:tcW w:w="1585" w:type="dxa"/>
            <w:noWrap w:val="0"/>
            <w:vAlign w:val="center"/>
          </w:tcPr>
          <w:p>
            <w:pPr>
              <w:ind w:left="0" w:leftChars="0" w:firstLine="0" w:firstLineChars="0"/>
              <w:jc w:val="center"/>
              <w:rPr>
                <w:rFonts w:hint="eastAsia" w:ascii="仿宋_GB2312" w:hAnsi="仿宋_GB2312" w:eastAsia="仿宋_GB2312" w:cs="仿宋_GB2312"/>
                <w:b/>
                <w:bCs/>
                <w:color w:val="auto"/>
                <w:sz w:val="21"/>
                <w:szCs w:val="21"/>
                <w:lang w:val="en-US" w:eastAsia="zh-CN"/>
              </w:rPr>
            </w:pPr>
            <w:r>
              <w:rPr>
                <w:rFonts w:hint="eastAsia" w:ascii="仿宋_GB2312" w:hAnsi="仿宋_GB2312" w:eastAsia="仿宋_GB2312" w:cs="仿宋_GB2312"/>
                <w:b/>
                <w:bCs/>
                <w:color w:val="auto"/>
                <w:sz w:val="21"/>
                <w:szCs w:val="21"/>
                <w:lang w:val="en-US" w:eastAsia="zh-CN"/>
              </w:rPr>
              <w:t>医保医用耗材代码(前7位)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1231" w:type="dxa"/>
            <w:noWrap w:val="0"/>
            <w:vAlign w:val="center"/>
          </w:tcPr>
          <w:p>
            <w:pPr>
              <w:ind w:left="0" w:leftChars="0" w:firstLine="0" w:firstLineChars="0"/>
              <w:jc w:val="center"/>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1</w:t>
            </w:r>
          </w:p>
        </w:tc>
        <w:tc>
          <w:tcPr>
            <w:tcW w:w="1231" w:type="dxa"/>
            <w:noWrap w:val="0"/>
            <w:vAlign w:val="center"/>
          </w:tcPr>
          <w:p>
            <w:pPr>
              <w:ind w:left="0" w:leftChars="0" w:firstLine="0" w:firstLineChars="0"/>
              <w:jc w:val="center"/>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泌尿介入导丝</w:t>
            </w:r>
          </w:p>
        </w:tc>
        <w:tc>
          <w:tcPr>
            <w:tcW w:w="4473" w:type="dxa"/>
            <w:noWrap w:val="0"/>
            <w:vAlign w:val="center"/>
          </w:tcPr>
          <w:p>
            <w:pPr>
              <w:ind w:left="0" w:leftChars="0" w:firstLine="0" w:firstLineChars="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通常</w:t>
            </w:r>
            <w:r>
              <w:rPr>
                <w:rFonts w:hint="eastAsia" w:ascii="仿宋_GB2312" w:hAnsi="仿宋_GB2312" w:eastAsia="仿宋_GB2312" w:cs="仿宋_GB2312"/>
                <w:color w:val="auto"/>
                <w:sz w:val="21"/>
                <w:szCs w:val="21"/>
                <w:highlight w:val="none"/>
                <w:lang w:val="en-US" w:eastAsia="zh-CN"/>
              </w:rPr>
              <w:t>由导丝和套管</w:t>
            </w:r>
            <w:r>
              <w:rPr>
                <w:rFonts w:hint="eastAsia" w:ascii="仿宋_GB2312" w:hAnsi="仿宋_GB2312" w:eastAsia="仿宋_GB2312" w:cs="仿宋_GB2312"/>
                <w:color w:val="auto"/>
                <w:sz w:val="21"/>
                <w:szCs w:val="21"/>
                <w:lang w:val="en-US" w:eastAsia="zh-CN"/>
              </w:rPr>
              <w:t>组成，用于泌尿系统检查及治疗中引导器械进入腔道或组织。无菌提供，一次性使用。管理类别为二类。</w:t>
            </w:r>
          </w:p>
        </w:tc>
        <w:tc>
          <w:tcPr>
            <w:tcW w:w="1585" w:type="dxa"/>
            <w:noWrap w:val="0"/>
            <w:vAlign w:val="center"/>
          </w:tcPr>
          <w:p>
            <w:pPr>
              <w:ind w:left="0" w:leftChars="0" w:firstLine="0" w:firstLineChars="0"/>
              <w:jc w:val="center"/>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C010305</w:t>
            </w:r>
          </w:p>
          <w:p>
            <w:pPr>
              <w:ind w:left="0" w:leftChars="0" w:firstLine="0" w:firstLineChars="0"/>
              <w:jc w:val="center"/>
              <w:rPr>
                <w:rFonts w:hint="eastAsia"/>
                <w:color w:val="auto"/>
                <w:sz w:val="21"/>
                <w:szCs w:val="21"/>
                <w:lang w:val="en-US" w:eastAsia="zh-CN"/>
              </w:rPr>
            </w:pPr>
            <w:r>
              <w:rPr>
                <w:rFonts w:hint="eastAsia" w:ascii="仿宋_GB2312" w:hAnsi="仿宋_GB2312" w:eastAsia="仿宋_GB2312" w:cs="仿宋_GB2312"/>
                <w:color w:val="auto"/>
                <w:sz w:val="21"/>
                <w:szCs w:val="21"/>
                <w:highlight w:val="none"/>
                <w:lang w:val="en-US" w:eastAsia="zh-CN"/>
              </w:rPr>
              <w:t>C010611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1231" w:type="dxa"/>
            <w:noWrap w:val="0"/>
            <w:vAlign w:val="center"/>
          </w:tcPr>
          <w:p>
            <w:pPr>
              <w:ind w:left="0" w:leftChars="0" w:firstLine="0" w:firstLineChars="0"/>
              <w:jc w:val="center"/>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2</w:t>
            </w:r>
          </w:p>
        </w:tc>
        <w:tc>
          <w:tcPr>
            <w:tcW w:w="1231" w:type="dxa"/>
            <w:noWrap w:val="0"/>
            <w:vAlign w:val="center"/>
          </w:tcPr>
          <w:p>
            <w:pPr>
              <w:ind w:left="0" w:leftChars="0" w:firstLine="0" w:firstLineChars="0"/>
              <w:jc w:val="center"/>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泌尿取石网篮</w:t>
            </w:r>
          </w:p>
        </w:tc>
        <w:tc>
          <w:tcPr>
            <w:tcW w:w="4473" w:type="dxa"/>
            <w:noWrap w:val="0"/>
            <w:vAlign w:val="center"/>
          </w:tcPr>
          <w:p>
            <w:pPr>
              <w:ind w:left="0" w:leftChars="0" w:firstLine="0" w:firstLineChars="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通常由头部、杆部或软性导管和手柄组成，头部为抓取件或其他取出装置，通过手柄操作传递、控制头部工作。手术中在内窥镜下操作，用于取出组织、异物、粉碎结石。管理类别为二类。</w:t>
            </w:r>
          </w:p>
        </w:tc>
        <w:tc>
          <w:tcPr>
            <w:tcW w:w="1585" w:type="dxa"/>
            <w:noWrap w:val="0"/>
            <w:vAlign w:val="center"/>
          </w:tcPr>
          <w:p>
            <w:pPr>
              <w:ind w:left="0" w:leftChars="0" w:firstLine="0" w:firstLineChars="0"/>
              <w:jc w:val="center"/>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C010308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1231" w:type="dxa"/>
            <w:noWrap w:val="0"/>
            <w:vAlign w:val="center"/>
          </w:tcPr>
          <w:p>
            <w:pPr>
              <w:ind w:left="0" w:leftChars="0" w:firstLine="0" w:firstLineChars="0"/>
              <w:jc w:val="center"/>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3</w:t>
            </w:r>
          </w:p>
        </w:tc>
        <w:tc>
          <w:tcPr>
            <w:tcW w:w="1231" w:type="dxa"/>
            <w:noWrap w:val="0"/>
            <w:vAlign w:val="center"/>
          </w:tcPr>
          <w:p>
            <w:pPr>
              <w:ind w:left="0" w:leftChars="0" w:firstLine="0" w:firstLineChars="0"/>
              <w:jc w:val="center"/>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泌尿介入鞘</w:t>
            </w:r>
          </w:p>
        </w:tc>
        <w:tc>
          <w:tcPr>
            <w:tcW w:w="4473" w:type="dxa"/>
            <w:noWrap w:val="0"/>
            <w:vAlign w:val="center"/>
          </w:tcPr>
          <w:p>
            <w:pPr>
              <w:ind w:left="0" w:leftChars="0" w:firstLine="0" w:firstLineChars="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通常由内部的锥形扩张器和外鞘构成，用于在泌尿系统内窥镜手术或检查中建立通道，便于内窥镜或其他器械经输尿管进入泌尿道。无菌提供，一次性使用。管理类别为二类。</w:t>
            </w:r>
          </w:p>
          <w:p>
            <w:pPr>
              <w:ind w:left="0" w:leftChars="0" w:firstLine="0" w:firstLineChars="0"/>
              <w:rPr>
                <w:rFonts w:hint="default"/>
                <w:color w:val="auto"/>
                <w:sz w:val="21"/>
                <w:szCs w:val="21"/>
                <w:lang w:val="en-US" w:eastAsia="zh-CN"/>
              </w:rPr>
            </w:pPr>
            <w:r>
              <w:rPr>
                <w:rFonts w:hint="eastAsia" w:ascii="仿宋_GB2312" w:hAnsi="仿宋_GB2312" w:eastAsia="仿宋_GB2312" w:cs="仿宋_GB2312"/>
                <w:b/>
                <w:bCs/>
                <w:color w:val="auto"/>
                <w:sz w:val="21"/>
                <w:szCs w:val="21"/>
                <w:highlight w:val="none"/>
                <w:lang w:val="en-US" w:eastAsia="zh-CN"/>
              </w:rPr>
              <w:t>经皮肾穿刺径路的泌尿介入鞘不在本次价格谈判范围。</w:t>
            </w:r>
          </w:p>
        </w:tc>
        <w:tc>
          <w:tcPr>
            <w:tcW w:w="1585" w:type="dxa"/>
            <w:noWrap w:val="0"/>
            <w:vAlign w:val="center"/>
          </w:tcPr>
          <w:p>
            <w:pPr>
              <w:ind w:left="0" w:leftChars="0" w:firstLine="0" w:firstLineChars="0"/>
              <w:jc w:val="center"/>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C010311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1231" w:type="dxa"/>
            <w:noWrap w:val="0"/>
            <w:vAlign w:val="center"/>
          </w:tcPr>
          <w:p>
            <w:pPr>
              <w:ind w:left="0" w:leftChars="0" w:firstLine="0" w:firstLineChars="0"/>
              <w:jc w:val="center"/>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4</w:t>
            </w:r>
          </w:p>
        </w:tc>
        <w:tc>
          <w:tcPr>
            <w:tcW w:w="1231" w:type="dxa"/>
            <w:noWrap w:val="0"/>
            <w:vAlign w:val="center"/>
          </w:tcPr>
          <w:p>
            <w:pPr>
              <w:ind w:left="0" w:leftChars="0" w:firstLine="0" w:firstLineChars="0"/>
              <w:jc w:val="center"/>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泌尿介入封堵器</w:t>
            </w:r>
          </w:p>
        </w:tc>
        <w:tc>
          <w:tcPr>
            <w:tcW w:w="4473" w:type="dxa"/>
            <w:noWrap w:val="0"/>
            <w:vAlign w:val="center"/>
          </w:tcPr>
          <w:p>
            <w:pPr>
              <w:ind w:left="0" w:leftChars="0" w:firstLine="0" w:firstLineChars="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通常由封堵头、鞘管、手柄和牵引丝组成，与内窥镜配合使用，经内窥镜工作通道进入输尿管，形成临时封堵结构，防止结石漂移至肾脏。无菌提供，一次性使用。管理类别为二类。</w:t>
            </w:r>
          </w:p>
        </w:tc>
        <w:tc>
          <w:tcPr>
            <w:tcW w:w="1585" w:type="dxa"/>
            <w:noWrap w:val="0"/>
            <w:vAlign w:val="center"/>
          </w:tcPr>
          <w:p>
            <w:pPr>
              <w:ind w:left="0" w:leftChars="0" w:firstLine="0" w:firstLineChars="0"/>
              <w:jc w:val="center"/>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C010312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1231" w:type="dxa"/>
            <w:noWrap w:val="0"/>
            <w:vAlign w:val="center"/>
          </w:tcPr>
          <w:p>
            <w:pPr>
              <w:ind w:left="0" w:leftChars="0" w:firstLine="0" w:firstLineChars="0"/>
              <w:jc w:val="center"/>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5</w:t>
            </w:r>
          </w:p>
        </w:tc>
        <w:tc>
          <w:tcPr>
            <w:tcW w:w="1231" w:type="dxa"/>
            <w:noWrap w:val="0"/>
            <w:vAlign w:val="center"/>
          </w:tcPr>
          <w:p>
            <w:pPr>
              <w:ind w:left="0" w:leftChars="0" w:firstLine="0" w:firstLineChars="0"/>
              <w:jc w:val="center"/>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输尿管成像导管</w:t>
            </w:r>
          </w:p>
        </w:tc>
        <w:tc>
          <w:tcPr>
            <w:tcW w:w="4473" w:type="dxa"/>
            <w:noWrap w:val="0"/>
            <w:vAlign w:val="center"/>
          </w:tcPr>
          <w:p>
            <w:pPr>
              <w:ind w:left="0" w:leftChars="0" w:firstLine="0" w:firstLineChars="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含软镜导管。通常由头部、杆部或软性导管和手柄组成，头部为导引件，与对应型号的医用内窥镜图像处理器配合使用，通过手柄操作传递、控制头部工作。经皮或尿道插入输尿管、肾盂内，用于对输尿管、肾盂进行观察、诊断或治疗中成像。管理类别为二类</w:t>
            </w:r>
            <w:r>
              <w:rPr>
                <w:rFonts w:hint="eastAsia" w:ascii="仿宋_GB2312" w:hAnsi="仿宋_GB2312" w:eastAsia="仿宋_GB2312" w:cs="仿宋_GB2312"/>
                <w:color w:val="auto"/>
                <w:sz w:val="21"/>
                <w:szCs w:val="21"/>
                <w:highlight w:val="none"/>
                <w:lang w:val="en-US" w:eastAsia="zh-CN"/>
              </w:rPr>
              <w:t>或三类</w:t>
            </w:r>
            <w:r>
              <w:rPr>
                <w:rFonts w:hint="eastAsia" w:ascii="仿宋_GB2312" w:hAnsi="仿宋_GB2312" w:eastAsia="仿宋_GB2312" w:cs="仿宋_GB2312"/>
                <w:color w:val="auto"/>
                <w:sz w:val="21"/>
                <w:szCs w:val="21"/>
                <w:lang w:val="en-US" w:eastAsia="zh-CN"/>
              </w:rPr>
              <w:t>。</w:t>
            </w:r>
          </w:p>
        </w:tc>
        <w:tc>
          <w:tcPr>
            <w:tcW w:w="1585" w:type="dxa"/>
            <w:noWrap w:val="0"/>
            <w:vAlign w:val="center"/>
          </w:tcPr>
          <w:p>
            <w:pPr>
              <w:ind w:left="0" w:leftChars="0" w:firstLine="0" w:firstLineChars="0"/>
              <w:jc w:val="center"/>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C010317</w:t>
            </w:r>
          </w:p>
          <w:p>
            <w:pPr>
              <w:ind w:left="0" w:leftChars="0" w:firstLine="0" w:firstLineChars="0"/>
              <w:jc w:val="center"/>
              <w:rPr>
                <w:rFonts w:hint="eastAsia"/>
                <w:color w:val="auto"/>
                <w:sz w:val="21"/>
                <w:szCs w:val="21"/>
                <w:lang w:val="en-US" w:eastAsia="zh-CN"/>
              </w:rPr>
            </w:pPr>
            <w:r>
              <w:rPr>
                <w:rFonts w:hint="eastAsia" w:ascii="仿宋_GB2312" w:hAnsi="仿宋_GB2312" w:eastAsia="仿宋_GB2312" w:cs="仿宋_GB2312"/>
                <w:color w:val="auto"/>
                <w:sz w:val="21"/>
                <w:szCs w:val="21"/>
                <w:lang w:val="en-US" w:eastAsia="zh-CN"/>
              </w:rPr>
              <w:t>C010318</w:t>
            </w:r>
          </w:p>
        </w:tc>
      </w:tr>
    </w:tbl>
    <w:p>
      <w:pPr>
        <w:spacing w:line="560" w:lineRule="exact"/>
        <w:ind w:left="0" w:firstLine="640" w:firstLineChars="200"/>
        <w:jc w:val="both"/>
        <w:outlineLvl w:val="1"/>
        <w:rPr>
          <w:rFonts w:hint="eastAsia" w:ascii="仿宋_GB2312" w:hAnsi="Calibri" w:eastAsia="仿宋_GB2312"/>
          <w:color w:val="auto"/>
          <w:sz w:val="32"/>
          <w:szCs w:val="32"/>
          <w:highlight w:val="none"/>
          <w:lang w:val="en-US" w:eastAsia="zh-CN"/>
        </w:rPr>
      </w:pPr>
      <w:r>
        <w:rPr>
          <w:rFonts w:hint="eastAsia" w:ascii="仿宋_GB2312" w:hAnsi="Calibri" w:eastAsia="仿宋_GB2312"/>
          <w:color w:val="auto"/>
          <w:sz w:val="32"/>
          <w:szCs w:val="32"/>
          <w:highlight w:val="none"/>
          <w:lang w:val="en-US" w:eastAsia="zh-CN"/>
        </w:rPr>
        <w:t>参与本次价格谈判的医用耗材产品须符合各谈判品种的品种特征描述，且其医保医用耗材代码在上述范围内。</w:t>
      </w:r>
    </w:p>
    <w:p>
      <w:pPr>
        <w:spacing w:line="560" w:lineRule="exact"/>
        <w:ind w:left="0" w:firstLine="640" w:firstLineChars="200"/>
        <w:jc w:val="both"/>
        <w:outlineLvl w:val="1"/>
        <w:rPr>
          <w:rFonts w:ascii="黑体" w:hAnsi="黑体" w:eastAsia="黑体" w:cs="黑体"/>
          <w:color w:val="auto"/>
          <w:kern w:val="2"/>
          <w:sz w:val="32"/>
          <w:szCs w:val="32"/>
        </w:rPr>
      </w:pPr>
      <w:r>
        <w:rPr>
          <w:rFonts w:hint="eastAsia" w:ascii="黑体" w:hAnsi="黑体" w:eastAsia="黑体" w:cs="黑体"/>
          <w:color w:val="auto"/>
          <w:kern w:val="2"/>
          <w:sz w:val="32"/>
          <w:szCs w:val="32"/>
        </w:rPr>
        <w:t>三、</w:t>
      </w:r>
      <w:bookmarkEnd w:id="3"/>
      <w:bookmarkEnd w:id="4"/>
      <w:bookmarkEnd w:id="11"/>
      <w:bookmarkEnd w:id="12"/>
      <w:r>
        <w:rPr>
          <w:rFonts w:hint="eastAsia" w:ascii="黑体" w:hAnsi="黑体" w:eastAsia="黑体" w:cs="黑体"/>
          <w:color w:val="auto"/>
          <w:kern w:val="2"/>
          <w:sz w:val="32"/>
          <w:szCs w:val="32"/>
        </w:rPr>
        <w:t>谈判结果执行周期</w:t>
      </w:r>
      <w:bookmarkEnd w:id="13"/>
    </w:p>
    <w:p>
      <w:pPr>
        <w:pStyle w:val="19"/>
        <w:shd w:val="clear" w:color="auto" w:fill="FFFFFF"/>
        <w:spacing w:before="0" w:beforeAutospacing="0" w:after="0" w:afterAutospacing="0" w:line="560" w:lineRule="exact"/>
        <w:ind w:left="0" w:firstLine="634"/>
        <w:jc w:val="both"/>
        <w:outlineLvl w:val="1"/>
        <w:rPr>
          <w:rFonts w:hint="eastAsia" w:ascii="仿宋_GB2312" w:eastAsia="仿宋_GB2312"/>
          <w:sz w:val="32"/>
          <w:szCs w:val="32"/>
        </w:rPr>
      </w:pPr>
      <w:bookmarkStart w:id="14" w:name="_Toc20456"/>
      <w:bookmarkStart w:id="15" w:name="_Toc8699"/>
      <w:bookmarkStart w:id="16" w:name="_Toc8320"/>
      <w:r>
        <w:rPr>
          <w:rFonts w:hint="eastAsia" w:ascii="仿宋_GB2312" w:eastAsia="仿宋_GB2312"/>
          <w:sz w:val="32"/>
          <w:szCs w:val="32"/>
        </w:rPr>
        <w:t>谈判结果执行周期原则上为2年，自中选结果实际执行之日起计算，到期后可根据采购和供应等实际情况延长期限。</w:t>
      </w:r>
    </w:p>
    <w:p>
      <w:pPr>
        <w:pStyle w:val="19"/>
        <w:shd w:val="clear" w:color="auto" w:fill="FFFFFF"/>
        <w:spacing w:before="0" w:beforeAutospacing="0" w:after="0" w:afterAutospacing="0" w:line="560" w:lineRule="exact"/>
        <w:ind w:left="0" w:firstLine="634"/>
        <w:jc w:val="both"/>
        <w:outlineLvl w:val="1"/>
        <w:rPr>
          <w:rFonts w:ascii="黑体" w:eastAsia="黑体" w:cs="黑体"/>
          <w:color w:val="auto"/>
          <w:sz w:val="32"/>
          <w:szCs w:val="32"/>
        </w:rPr>
      </w:pPr>
      <w:r>
        <w:rPr>
          <w:rFonts w:hint="eastAsia" w:ascii="黑体" w:hAnsi="黑体" w:eastAsia="黑体" w:cs="黑体"/>
          <w:color w:val="auto"/>
          <w:kern w:val="2"/>
          <w:sz w:val="32"/>
          <w:szCs w:val="32"/>
        </w:rPr>
        <w:t>四、</w:t>
      </w:r>
      <w:r>
        <w:rPr>
          <w:rFonts w:hint="eastAsia" w:ascii="黑体" w:eastAsia="黑体" w:cs="黑体"/>
          <w:color w:val="auto"/>
          <w:sz w:val="32"/>
          <w:szCs w:val="32"/>
          <w:shd w:val="clear" w:color="auto" w:fill="FFFFFF"/>
        </w:rPr>
        <w:t>申报资格要求</w:t>
      </w:r>
      <w:bookmarkEnd w:id="14"/>
      <w:bookmarkEnd w:id="15"/>
      <w:bookmarkEnd w:id="16"/>
    </w:p>
    <w:p>
      <w:pPr>
        <w:pStyle w:val="13"/>
        <w:numPr>
          <w:ilvl w:val="0"/>
          <w:numId w:val="2"/>
        </w:numPr>
        <w:spacing w:line="560" w:lineRule="exact"/>
        <w:ind w:left="0" w:firstLine="640" w:firstLineChars="200"/>
        <w:jc w:val="both"/>
        <w:outlineLvl w:val="2"/>
        <w:rPr>
          <w:rFonts w:ascii="楷体_GB2312" w:hAnsi="楷体_GB2312" w:eastAsia="楷体_GB2312" w:cs="楷体_GB2312"/>
          <w:color w:val="auto"/>
          <w:kern w:val="2"/>
          <w:sz w:val="32"/>
          <w:szCs w:val="32"/>
        </w:rPr>
      </w:pPr>
      <w:bookmarkStart w:id="17" w:name="_Toc15113"/>
      <w:bookmarkStart w:id="18" w:name="_Toc4064"/>
      <w:bookmarkStart w:id="19" w:name="_Toc25547"/>
      <w:bookmarkStart w:id="20" w:name="_Toc31270"/>
      <w:bookmarkStart w:id="21" w:name="_Toc24993"/>
      <w:bookmarkStart w:id="22" w:name="_Hlk103506275"/>
      <w:r>
        <w:rPr>
          <w:rFonts w:hint="eastAsia" w:ascii="楷体_GB2312" w:hAnsi="楷体_GB2312" w:eastAsia="楷体_GB2312" w:cs="楷体_GB2312"/>
          <w:color w:val="auto"/>
          <w:kern w:val="2"/>
          <w:sz w:val="32"/>
          <w:szCs w:val="32"/>
        </w:rPr>
        <w:t>申报企业资格要求</w:t>
      </w:r>
      <w:bookmarkEnd w:id="17"/>
      <w:bookmarkEnd w:id="18"/>
      <w:bookmarkEnd w:id="19"/>
      <w:bookmarkEnd w:id="20"/>
      <w:bookmarkEnd w:id="21"/>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r>
        <w:rPr>
          <w:rFonts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rPr>
        <w:t>申报企业为取得本次医用耗材价格谈判产品范围内相关产品合法资质的医疗器械注册人（代理人）。其中，境外医疗器械注册人（代理人）应当指定我国境内企业法人协助其履行相应的法律义务，委托其作为申报企业</w:t>
      </w:r>
      <w:r>
        <w:rPr>
          <w:rFonts w:ascii="仿宋_GB2312" w:hAnsi="仿宋_GB2312" w:eastAsia="仿宋_GB2312" w:cs="仿宋_GB2312"/>
          <w:color w:val="auto"/>
          <w:sz w:val="32"/>
          <w:szCs w:val="32"/>
        </w:rPr>
        <w:t>。</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ascii="仿宋_GB2312" w:hAnsi="仿宋_GB2312" w:eastAsia="仿宋_GB2312" w:cs="仿宋_GB2312"/>
          <w:color w:val="auto"/>
          <w:sz w:val="32"/>
          <w:szCs w:val="32"/>
        </w:rPr>
        <w:t>2.申报企业应具有持续生产能力并承诺保障各中选产品对应所有规格型号在</w:t>
      </w:r>
      <w:r>
        <w:rPr>
          <w:rFonts w:hint="eastAsia" w:ascii="仿宋_GB2312" w:hAnsi="仿宋_GB2312" w:eastAsia="仿宋_GB2312" w:cs="仿宋_GB2312"/>
          <w:color w:val="auto"/>
          <w:sz w:val="32"/>
          <w:szCs w:val="32"/>
        </w:rPr>
        <w:t>谈判结果执行周期</w:t>
      </w:r>
      <w:r>
        <w:rPr>
          <w:rFonts w:ascii="仿宋_GB2312" w:hAnsi="仿宋_GB2312" w:eastAsia="仿宋_GB2312" w:cs="仿宋_GB2312"/>
          <w:color w:val="auto"/>
          <w:sz w:val="32"/>
          <w:szCs w:val="32"/>
        </w:rPr>
        <w:t>内满足医疗机构的采购需求。</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ascii="仿宋_GB2312" w:hAnsi="仿宋_GB2312" w:eastAsia="仿宋_GB2312" w:cs="仿宋_GB2312"/>
          <w:color w:val="auto"/>
          <w:sz w:val="32"/>
          <w:szCs w:val="32"/>
        </w:rPr>
        <w:t>3.申报企业应遵守《中华人民共和国专利法》《中华人民共和国反不正当竞争法》等相关法律法规，并承担相关法律责任。</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ascii="仿宋_GB2312" w:hAnsi="仿宋_GB2312" w:eastAsia="仿宋_GB2312" w:cs="仿宋_GB2312"/>
          <w:color w:val="auto"/>
          <w:sz w:val="32"/>
          <w:szCs w:val="32"/>
        </w:rPr>
        <w:t>4.</w:t>
      </w:r>
      <w:r>
        <w:rPr>
          <w:rFonts w:hint="eastAsia" w:ascii="仿宋_GB2312" w:hAnsi="仿宋_GB2312" w:eastAsia="仿宋_GB2312" w:cs="仿宋_GB2312"/>
          <w:color w:val="auto"/>
          <w:sz w:val="32"/>
          <w:szCs w:val="32"/>
        </w:rPr>
        <w:t>申报企业</w:t>
      </w:r>
      <w:r>
        <w:rPr>
          <w:rFonts w:ascii="仿宋_GB2312" w:hAnsi="仿宋_GB2312" w:eastAsia="仿宋_GB2312" w:cs="仿宋_GB2312"/>
          <w:color w:val="auto"/>
          <w:sz w:val="32"/>
          <w:szCs w:val="32"/>
        </w:rPr>
        <w:t>参加本次价格谈判活动前三年内，在医用耗材生产经营活动中无严重违法记录。</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ascii="仿宋_GB2312" w:hAnsi="仿宋_GB2312" w:eastAsia="仿宋_GB2312" w:cs="仿宋_GB2312"/>
          <w:color w:val="auto"/>
          <w:sz w:val="32"/>
          <w:szCs w:val="32"/>
        </w:rPr>
        <w:t>5.申报企业未被列入当前《全国医药价格和招采失信企业风险警示名单》。</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ascii="仿宋_GB2312" w:hAnsi="仿宋_GB2312" w:eastAsia="仿宋_GB2312" w:cs="仿宋_GB2312"/>
          <w:color w:val="auto"/>
          <w:sz w:val="32"/>
          <w:szCs w:val="32"/>
        </w:rPr>
        <w:t>6.</w:t>
      </w:r>
      <w:r>
        <w:rPr>
          <w:rFonts w:hint="eastAsia" w:ascii="仿宋_GB2312" w:hAnsi="仿宋_GB2312" w:eastAsia="仿宋_GB2312" w:cs="仿宋_GB2312"/>
          <w:color w:val="auto"/>
          <w:sz w:val="32"/>
          <w:szCs w:val="32"/>
        </w:rPr>
        <w:t>受境外医疗器械注册人（代理人）委托的申报企业须持续持有覆盖整个采购周期的产品代理资格。</w:t>
      </w:r>
      <w:r>
        <w:rPr>
          <w:rFonts w:ascii="仿宋_GB2312" w:hAnsi="仿宋_GB2312" w:eastAsia="仿宋_GB2312" w:cs="仿宋_GB2312"/>
          <w:color w:val="auto"/>
          <w:sz w:val="32"/>
          <w:szCs w:val="32"/>
        </w:rPr>
        <w:t>如在申报、</w:t>
      </w:r>
      <w:r>
        <w:rPr>
          <w:rFonts w:hint="eastAsia" w:ascii="仿宋_GB2312" w:hAnsi="仿宋_GB2312" w:eastAsia="仿宋_GB2312" w:cs="仿宋_GB2312"/>
          <w:color w:val="auto"/>
          <w:sz w:val="32"/>
          <w:szCs w:val="32"/>
        </w:rPr>
        <w:t>谈判结果执行周期</w:t>
      </w:r>
      <w:r>
        <w:rPr>
          <w:rFonts w:ascii="仿宋_GB2312" w:hAnsi="仿宋_GB2312" w:eastAsia="仿宋_GB2312" w:cs="仿宋_GB2312"/>
          <w:color w:val="auto"/>
          <w:sz w:val="32"/>
          <w:szCs w:val="32"/>
        </w:rPr>
        <w:t>内代理资格终止的，</w:t>
      </w:r>
      <w:r>
        <w:rPr>
          <w:rFonts w:hint="eastAsia" w:ascii="仿宋_GB2312" w:hAnsi="仿宋_GB2312" w:eastAsia="仿宋_GB2312" w:cs="仿宋_GB2312"/>
          <w:color w:val="auto"/>
          <w:sz w:val="32"/>
          <w:szCs w:val="32"/>
        </w:rPr>
        <w:t>交易中心</w:t>
      </w:r>
      <w:r>
        <w:rPr>
          <w:rFonts w:ascii="仿宋_GB2312" w:hAnsi="仿宋_GB2312" w:eastAsia="仿宋_GB2312" w:cs="仿宋_GB2312"/>
          <w:color w:val="auto"/>
          <w:sz w:val="32"/>
          <w:szCs w:val="32"/>
        </w:rPr>
        <w:t>可经上报医疗保障部门同意后取消其申报</w:t>
      </w:r>
      <w:r>
        <w:rPr>
          <w:rFonts w:hint="eastAsia" w:ascii="仿宋_GB2312" w:hAnsi="仿宋_GB2312" w:eastAsia="仿宋_GB2312" w:cs="仿宋_GB2312"/>
          <w:color w:val="auto"/>
          <w:sz w:val="32"/>
          <w:szCs w:val="32"/>
        </w:rPr>
        <w:t>或者中选</w:t>
      </w:r>
      <w:r>
        <w:rPr>
          <w:rFonts w:ascii="仿宋_GB2312" w:hAnsi="仿宋_GB2312" w:eastAsia="仿宋_GB2312" w:cs="仿宋_GB2312"/>
          <w:color w:val="auto"/>
          <w:sz w:val="32"/>
          <w:szCs w:val="32"/>
        </w:rPr>
        <w:t>资格，由此产生的一切经济和法律责任均由该企业自行承担。</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ascii="仿宋_GB2312" w:hAnsi="仿宋_GB2312" w:eastAsia="仿宋_GB2312" w:cs="仿宋_GB2312"/>
          <w:color w:val="auto"/>
          <w:sz w:val="32"/>
          <w:szCs w:val="32"/>
        </w:rPr>
        <w:t>7.同一医疗器械注册（备案）证的产品原则上不得委托不同企业进行申报。</w:t>
      </w:r>
    </w:p>
    <w:p>
      <w:pPr>
        <w:pStyle w:val="13"/>
        <w:numPr>
          <w:ilvl w:val="0"/>
          <w:numId w:val="2"/>
        </w:numPr>
        <w:spacing w:line="560" w:lineRule="exact"/>
        <w:ind w:left="0" w:firstLine="640" w:firstLineChars="200"/>
        <w:jc w:val="both"/>
        <w:outlineLvl w:val="2"/>
        <w:rPr>
          <w:rFonts w:ascii="楷体_GB2312" w:hAnsi="楷体_GB2312" w:eastAsia="楷体_GB2312" w:cs="楷体_GB2312"/>
          <w:color w:val="auto"/>
          <w:kern w:val="2"/>
          <w:sz w:val="32"/>
          <w:szCs w:val="32"/>
        </w:rPr>
      </w:pPr>
      <w:bookmarkStart w:id="23" w:name="_Toc10102"/>
      <w:bookmarkStart w:id="24" w:name="_Toc7523"/>
      <w:bookmarkStart w:id="25" w:name="_Toc9651"/>
      <w:bookmarkStart w:id="26" w:name="_Toc12428"/>
      <w:bookmarkStart w:id="27" w:name="_Toc5556"/>
      <w:r>
        <w:rPr>
          <w:rFonts w:ascii="楷体_GB2312" w:hAnsi="楷体_GB2312" w:eastAsia="楷体_GB2312" w:cs="楷体_GB2312"/>
          <w:color w:val="auto"/>
          <w:kern w:val="2"/>
          <w:sz w:val="32"/>
          <w:szCs w:val="32"/>
        </w:rPr>
        <w:t>申报产品资格要求</w:t>
      </w:r>
      <w:bookmarkEnd w:id="23"/>
      <w:bookmarkEnd w:id="24"/>
      <w:bookmarkEnd w:id="25"/>
      <w:bookmarkEnd w:id="26"/>
      <w:bookmarkEnd w:id="27"/>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r>
        <w:rPr>
          <w:rFonts w:ascii="仿宋_GB2312" w:hAnsi="仿宋_GB2312" w:eastAsia="仿宋_GB2312" w:cs="仿宋_GB2312"/>
          <w:color w:val="auto"/>
          <w:sz w:val="32"/>
          <w:szCs w:val="32"/>
        </w:rPr>
        <w:t>.申报产品</w:t>
      </w:r>
      <w:r>
        <w:rPr>
          <w:rFonts w:hint="eastAsia" w:ascii="仿宋_GB2312" w:hAnsi="仿宋_GB2312" w:eastAsia="仿宋_GB2312" w:cs="仿宋_GB2312"/>
          <w:color w:val="auto"/>
          <w:sz w:val="32"/>
          <w:szCs w:val="32"/>
        </w:rPr>
        <w:t>是指在本次价格谈判</w:t>
      </w:r>
      <w:r>
        <w:rPr>
          <w:rFonts w:ascii="仿宋_GB2312" w:hAnsi="仿宋_GB2312" w:eastAsia="仿宋_GB2312" w:cs="仿宋_GB2312"/>
          <w:color w:val="auto"/>
          <w:sz w:val="32"/>
          <w:szCs w:val="32"/>
        </w:rPr>
        <w:t>品种范围</w:t>
      </w:r>
      <w:r>
        <w:rPr>
          <w:rFonts w:hint="eastAsia" w:ascii="仿宋_GB2312" w:hAnsi="仿宋_GB2312" w:eastAsia="仿宋_GB2312" w:cs="仿宋_GB2312"/>
          <w:color w:val="auto"/>
          <w:sz w:val="32"/>
          <w:szCs w:val="32"/>
        </w:rPr>
        <w:t>内</w:t>
      </w:r>
      <w:r>
        <w:rPr>
          <w:rFonts w:ascii="仿宋_GB2312" w:hAnsi="仿宋_GB2312" w:eastAsia="仿宋_GB2312" w:cs="仿宋_GB2312"/>
          <w:color w:val="auto"/>
          <w:sz w:val="32"/>
          <w:szCs w:val="32"/>
        </w:rPr>
        <w:t>，并获得有效中华人民共和国医疗器械注册（备案）证的产品。</w:t>
      </w:r>
      <w:r>
        <w:rPr>
          <w:rFonts w:hint="eastAsia" w:ascii="仿宋_GB2312" w:hAnsi="仿宋_GB2312" w:eastAsia="仿宋_GB2312" w:cs="仿宋_GB2312"/>
          <w:color w:val="auto"/>
          <w:sz w:val="32"/>
          <w:szCs w:val="32"/>
        </w:rPr>
        <w:t>本次医用耗材价格谈判申报产品以深圳阳光平台基础库产品ID作为申报单元。</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ascii="仿宋_GB2312" w:hAnsi="仿宋_GB2312" w:eastAsia="仿宋_GB2312" w:cs="仿宋_GB2312"/>
          <w:color w:val="auto"/>
          <w:sz w:val="32"/>
          <w:szCs w:val="32"/>
        </w:rPr>
        <w:t>2</w:t>
      </w:r>
      <w:r>
        <w:rPr>
          <w:rFonts w:hint="eastAsia" w:ascii="仿宋_GB2312" w:hAnsi="仿宋_GB2312" w:eastAsia="仿宋_GB2312" w:cs="仿宋_GB2312"/>
          <w:color w:val="auto"/>
          <w:sz w:val="32"/>
          <w:szCs w:val="32"/>
        </w:rPr>
        <w:t>.</w:t>
      </w:r>
      <w:r>
        <w:rPr>
          <w:rFonts w:ascii="仿宋_GB2312" w:hAnsi="仿宋_GB2312" w:eastAsia="仿宋_GB2312" w:cs="仿宋_GB2312"/>
          <w:color w:val="auto"/>
          <w:sz w:val="32"/>
          <w:szCs w:val="32"/>
        </w:rPr>
        <w:t>涉及有效期的注册（备案）证等申报材料，必须在采购文件发布当日仍在有效期内。</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ascii="仿宋_GB2312" w:hAnsi="仿宋_GB2312" w:eastAsia="仿宋_GB2312" w:cs="仿宋_GB2312"/>
          <w:color w:val="auto"/>
          <w:sz w:val="32"/>
          <w:szCs w:val="32"/>
        </w:rPr>
        <w:t>3</w:t>
      </w:r>
      <w:r>
        <w:rPr>
          <w:rFonts w:hint="eastAsia" w:ascii="仿宋_GB2312" w:hAnsi="仿宋_GB2312" w:eastAsia="仿宋_GB2312" w:cs="仿宋_GB2312"/>
          <w:color w:val="auto"/>
          <w:sz w:val="32"/>
          <w:szCs w:val="32"/>
        </w:rPr>
        <w:t>.</w:t>
      </w:r>
      <w:r>
        <w:rPr>
          <w:rFonts w:ascii="仿宋_GB2312" w:hAnsi="仿宋_GB2312" w:eastAsia="仿宋_GB2312" w:cs="仿宋_GB2312"/>
          <w:color w:val="auto"/>
          <w:sz w:val="32"/>
          <w:szCs w:val="32"/>
        </w:rPr>
        <w:t>申报产品须在深圳阳光平台维护</w:t>
      </w:r>
      <w:r>
        <w:rPr>
          <w:rFonts w:hint="eastAsia" w:ascii="仿宋_GB2312" w:hAnsi="仿宋_GB2312" w:eastAsia="仿宋_GB2312" w:cs="仿宋_GB2312"/>
          <w:color w:val="auto"/>
          <w:sz w:val="32"/>
          <w:szCs w:val="32"/>
        </w:rPr>
        <w:t>国家医保医用耗材代码</w:t>
      </w:r>
      <w:r>
        <w:rPr>
          <w:rFonts w:ascii="仿宋_GB2312" w:hAnsi="仿宋_GB2312" w:eastAsia="仿宋_GB2312" w:cs="仿宋_GB2312"/>
          <w:color w:val="auto"/>
          <w:sz w:val="32"/>
          <w:szCs w:val="32"/>
        </w:rPr>
        <w:t>，否则</w:t>
      </w:r>
      <w:r>
        <w:rPr>
          <w:rFonts w:hint="eastAsia" w:ascii="仿宋_GB2312" w:hAnsi="仿宋_GB2312" w:eastAsia="仿宋_GB2312" w:cs="仿宋_GB2312"/>
          <w:color w:val="auto"/>
          <w:sz w:val="32"/>
          <w:szCs w:val="32"/>
        </w:rPr>
        <w:t>不可参与本次价格谈判，</w:t>
      </w:r>
      <w:r>
        <w:rPr>
          <w:rFonts w:ascii="仿宋_GB2312" w:hAnsi="仿宋_GB2312" w:eastAsia="仿宋_GB2312" w:cs="仿宋_GB2312"/>
          <w:color w:val="auto"/>
          <w:sz w:val="32"/>
          <w:szCs w:val="32"/>
        </w:rPr>
        <w:t>由此引起的一切后果由申报企业自行负责。</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ascii="仿宋_GB2312" w:hAnsi="仿宋_GB2312" w:eastAsia="仿宋_GB2312" w:cs="仿宋_GB2312"/>
          <w:color w:val="auto"/>
          <w:sz w:val="32"/>
          <w:szCs w:val="32"/>
        </w:rPr>
        <w:t>4</w:t>
      </w:r>
      <w:r>
        <w:rPr>
          <w:rFonts w:hint="eastAsia" w:ascii="仿宋_GB2312" w:hAnsi="仿宋_GB2312" w:eastAsia="仿宋_GB2312" w:cs="仿宋_GB2312"/>
          <w:color w:val="auto"/>
          <w:sz w:val="32"/>
          <w:szCs w:val="32"/>
        </w:rPr>
        <w:t>.</w:t>
      </w:r>
      <w:r>
        <w:rPr>
          <w:rFonts w:ascii="仿宋_GB2312" w:hAnsi="仿宋_GB2312" w:eastAsia="仿宋_GB2312" w:cs="仿宋_GB2312"/>
          <w:color w:val="auto"/>
          <w:sz w:val="32"/>
          <w:szCs w:val="32"/>
        </w:rPr>
        <w:t>申报产品应当符合国家有关部门的质量标准要求，并按国家有关部门要求组织生产。</w:t>
      </w:r>
    </w:p>
    <w:p>
      <w:pPr>
        <w:pStyle w:val="2"/>
        <w:autoSpaceDE/>
        <w:autoSpaceDN/>
        <w:spacing w:line="560" w:lineRule="exact"/>
        <w:jc w:val="both"/>
        <w:outlineLvl w:val="1"/>
        <w:rPr>
          <w:rFonts w:ascii="楷体_GB2312" w:eastAsia="楷体_GB2312" w:cs="楷体_GB2312"/>
          <w:color w:val="auto"/>
          <w:sz w:val="32"/>
          <w:szCs w:val="32"/>
          <w:shd w:val="clear" w:color="auto" w:fill="FFFFFF"/>
        </w:rPr>
      </w:pPr>
      <w:r>
        <w:rPr>
          <w:rFonts w:hint="eastAsia" w:ascii="仿宋_GB2312" w:hAnsi="仿宋_GB2312" w:eastAsia="仿宋_GB2312" w:cs="仿宋_GB2312"/>
          <w:color w:val="auto"/>
          <w:sz w:val="32"/>
          <w:szCs w:val="32"/>
        </w:rPr>
        <w:t xml:space="preserve">    </w:t>
      </w:r>
      <w:bookmarkEnd w:id="22"/>
      <w:bookmarkStart w:id="28" w:name="_Toc19562"/>
      <w:bookmarkStart w:id="29" w:name="_Toc27540"/>
      <w:bookmarkStart w:id="30" w:name="_Toc1820"/>
      <w:r>
        <w:rPr>
          <w:rFonts w:hint="eastAsia" w:ascii="黑体" w:hAnsi="黑体" w:eastAsia="黑体" w:cs="黑体"/>
          <w:color w:val="auto"/>
          <w:kern w:val="2"/>
          <w:sz w:val="32"/>
          <w:szCs w:val="32"/>
        </w:rPr>
        <w:t>五、采购文件获取方式</w:t>
      </w:r>
      <w:bookmarkEnd w:id="28"/>
      <w:bookmarkEnd w:id="29"/>
      <w:bookmarkEnd w:id="30"/>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通过深圳公共资源交易网（http</w:t>
      </w:r>
      <w:r>
        <w:rPr>
          <w:rFonts w:hint="eastAsia" w:ascii="仿宋_GB2312" w:hAnsi="仿宋_GB2312" w:eastAsia="仿宋_GB2312" w:cs="仿宋_GB2312"/>
          <w:color w:val="auto"/>
          <w:sz w:val="32"/>
          <w:szCs w:val="32"/>
          <w:lang w:val="en-US" w:eastAsia="zh-CN"/>
        </w:rPr>
        <w:t>s</w:t>
      </w:r>
      <w:r>
        <w:rPr>
          <w:rFonts w:hint="eastAsia" w:ascii="仿宋_GB2312" w:hAnsi="仿宋_GB2312" w:eastAsia="仿宋_GB2312" w:cs="仿宋_GB2312"/>
          <w:color w:val="auto"/>
          <w:sz w:val="32"/>
          <w:szCs w:val="32"/>
        </w:rPr>
        <w:t>://www.szggzy.com/）医用耗材交易板块下载相关文件。</w:t>
      </w:r>
    </w:p>
    <w:p>
      <w:pPr>
        <w:numPr>
          <w:ilvl w:val="255"/>
          <w:numId w:val="0"/>
        </w:numPr>
        <w:spacing w:line="560" w:lineRule="exact"/>
        <w:ind w:left="480" w:leftChars="200" w:firstLine="320" w:firstLineChars="100"/>
        <w:jc w:val="both"/>
        <w:outlineLvl w:val="1"/>
        <w:rPr>
          <w:rFonts w:ascii="黑体" w:hAnsi="黑体" w:eastAsia="黑体" w:cs="黑体"/>
          <w:color w:val="auto"/>
          <w:kern w:val="2"/>
          <w:sz w:val="32"/>
          <w:szCs w:val="32"/>
        </w:rPr>
      </w:pPr>
      <w:bookmarkStart w:id="31" w:name="_Toc10817"/>
      <w:bookmarkStart w:id="32" w:name="_Toc16734"/>
      <w:bookmarkStart w:id="33" w:name="_Toc5612"/>
      <w:r>
        <w:rPr>
          <w:rFonts w:hint="eastAsia" w:ascii="黑体" w:hAnsi="黑体" w:eastAsia="黑体" w:cs="黑体"/>
          <w:color w:val="auto"/>
          <w:kern w:val="2"/>
          <w:sz w:val="32"/>
          <w:szCs w:val="32"/>
        </w:rPr>
        <w:t>六、报名方式</w:t>
      </w:r>
      <w:bookmarkEnd w:id="31"/>
      <w:bookmarkEnd w:id="32"/>
      <w:bookmarkEnd w:id="33"/>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（一）申报企业在</w:t>
      </w:r>
      <w:r>
        <w:rPr>
          <w:rFonts w:hint="eastAsia" w:ascii="仿宋_GB2312" w:hAnsi="仿宋_GB2312" w:eastAsia="仿宋_GB2312" w:cs="仿宋_GB2312"/>
          <w:color w:val="auto"/>
          <w:sz w:val="32"/>
          <w:szCs w:val="32"/>
          <w:lang w:val="en-US" w:eastAsia="zh-CN"/>
        </w:rPr>
        <w:t>6</w:t>
      </w:r>
      <w:r>
        <w:rPr>
          <w:rFonts w:hint="eastAsia" w:ascii="仿宋_GB2312" w:hAnsi="仿宋_GB2312" w:eastAsia="仿宋_GB2312" w:cs="仿宋_GB2312"/>
          <w:color w:val="auto"/>
          <w:sz w:val="32"/>
          <w:szCs w:val="32"/>
        </w:rPr>
        <w:t>月</w:t>
      </w:r>
      <w:r>
        <w:rPr>
          <w:rFonts w:hint="eastAsia" w:ascii="仿宋_GB2312" w:hAnsi="仿宋_GB2312" w:eastAsia="仿宋_GB2312" w:cs="仿宋_GB2312"/>
          <w:color w:val="auto"/>
          <w:sz w:val="32"/>
          <w:szCs w:val="32"/>
          <w:lang w:val="en-US" w:eastAsia="zh-CN"/>
        </w:rPr>
        <w:t>1</w:t>
      </w:r>
      <w:r>
        <w:rPr>
          <w:rFonts w:hint="eastAsia" w:ascii="仿宋_GB2312" w:hAnsi="仿宋_GB2312" w:eastAsia="仿宋_GB2312" w:cs="仿宋_GB2312"/>
          <w:color w:val="auto"/>
          <w:sz w:val="32"/>
          <w:szCs w:val="32"/>
        </w:rPr>
        <w:t>日</w:t>
      </w:r>
      <w:r>
        <w:rPr>
          <w:rFonts w:hint="eastAsia" w:ascii="仿宋_GB2312" w:hAnsi="仿宋_GB2312" w:eastAsia="仿宋_GB2312" w:cs="仿宋_GB2312"/>
          <w:color w:val="auto"/>
          <w:sz w:val="32"/>
          <w:szCs w:val="32"/>
          <w:lang w:val="en-US" w:eastAsia="zh-CN"/>
        </w:rPr>
        <w:t>18</w:t>
      </w:r>
      <w:r>
        <w:rPr>
          <w:rFonts w:hint="eastAsia" w:ascii="仿宋_GB2312" w:hAnsi="仿宋_GB2312" w:eastAsia="仿宋_GB2312" w:cs="仿宋_GB2312"/>
          <w:color w:val="auto"/>
          <w:sz w:val="32"/>
          <w:szCs w:val="32"/>
        </w:rPr>
        <w:t>时之前通过深圳阳光平台相关功能模块进行正式信息申报。正式信息申报分三个步骤：</w:t>
      </w:r>
      <w:r>
        <w:rPr>
          <w:rFonts w:hint="eastAsia" w:ascii="仿宋_GB2312" w:hAnsi="仿宋_GB2312" w:eastAsia="仿宋_GB2312" w:cs="仿宋_GB2312"/>
          <w:b/>
          <w:bCs/>
          <w:color w:val="auto"/>
          <w:sz w:val="32"/>
          <w:szCs w:val="32"/>
        </w:rPr>
        <w:t>一是</w:t>
      </w:r>
      <w:r>
        <w:rPr>
          <w:rFonts w:hint="eastAsia" w:ascii="仿宋_GB2312" w:hAnsi="仿宋_GB2312" w:eastAsia="仿宋_GB2312" w:cs="仿宋_GB2312"/>
          <w:color w:val="auto"/>
          <w:sz w:val="32"/>
          <w:szCs w:val="32"/>
        </w:rPr>
        <w:t>将本采购文件附件1“承诺函”加盖公章后上传。</w:t>
      </w:r>
      <w:r>
        <w:rPr>
          <w:rFonts w:hint="eastAsia" w:ascii="仿宋_GB2312" w:hAnsi="仿宋_GB2312" w:eastAsia="仿宋_GB2312" w:cs="仿宋_GB2312"/>
          <w:b/>
          <w:bCs/>
          <w:color w:val="auto"/>
          <w:sz w:val="32"/>
          <w:szCs w:val="32"/>
        </w:rPr>
        <w:t>二是</w:t>
      </w:r>
      <w:r>
        <w:rPr>
          <w:rFonts w:hint="eastAsia" w:ascii="仿宋_GB2312" w:hAnsi="仿宋_GB2312" w:eastAsia="仿宋_GB2312" w:cs="仿宋_GB2312"/>
          <w:color w:val="auto"/>
          <w:sz w:val="32"/>
          <w:szCs w:val="32"/>
        </w:rPr>
        <w:t>维护产品信息、价格信息及其他信息并上传。价格信息是指深圳地区公立医疗机构的最低销售价格信息（</w:t>
      </w:r>
      <w:r>
        <w:rPr>
          <w:rFonts w:hint="eastAsia" w:ascii="仿宋_GB2312" w:hAnsi="仿宋_GB2312" w:eastAsia="仿宋_GB2312" w:cs="仿宋_GB2312"/>
          <w:color w:val="auto"/>
          <w:sz w:val="32"/>
          <w:szCs w:val="32"/>
          <w:lang w:eastAsia="zh-CN"/>
        </w:rPr>
        <w:t>2022年3月1日至2023年2月28日</w:t>
      </w:r>
      <w:r>
        <w:rPr>
          <w:rFonts w:hint="eastAsia" w:ascii="仿宋_GB2312" w:hAnsi="仿宋_GB2312" w:eastAsia="仿宋_GB2312" w:cs="仿宋_GB2312"/>
          <w:color w:val="auto"/>
          <w:sz w:val="32"/>
          <w:szCs w:val="32"/>
        </w:rPr>
        <w:t>期间），要求提供相应合同或者发票等证明材料，证明资料应当包含销售价格、医疗机构等主要信息并作明显标注。销售周期内未在深圳市公立医疗机构有销售记录的产品，填写1家深圳市外三级</w:t>
      </w:r>
      <w:r>
        <w:rPr>
          <w:rFonts w:hint="eastAsia" w:ascii="仿宋_GB2312" w:hAnsi="仿宋_GB2312" w:eastAsia="仿宋_GB2312" w:cs="仿宋_GB2312"/>
          <w:color w:val="auto"/>
          <w:sz w:val="32"/>
          <w:szCs w:val="32"/>
          <w:lang w:val="en-US" w:eastAsia="zh-CN"/>
        </w:rPr>
        <w:t>及以上</w:t>
      </w:r>
      <w:r>
        <w:rPr>
          <w:rFonts w:hint="eastAsia" w:ascii="仿宋_GB2312" w:hAnsi="仿宋_GB2312" w:eastAsia="仿宋_GB2312" w:cs="仿宋_GB2312"/>
          <w:color w:val="auto"/>
          <w:sz w:val="32"/>
          <w:szCs w:val="32"/>
        </w:rPr>
        <w:t>公立医疗机构的最低销售价格信息。深圳市内和市外均无销售价格的产品，按要求提供相关承诺（详见系统无价格承诺函）。</w:t>
      </w:r>
      <w:r>
        <w:rPr>
          <w:rFonts w:hint="eastAsia" w:ascii="仿宋_GB2312" w:hAnsi="仿宋_GB2312" w:eastAsia="仿宋_GB2312" w:cs="仿宋_GB2312"/>
          <w:b/>
          <w:bCs/>
          <w:color w:val="auto"/>
          <w:sz w:val="32"/>
          <w:szCs w:val="32"/>
        </w:rPr>
        <w:t>三是</w:t>
      </w:r>
      <w:r>
        <w:rPr>
          <w:rFonts w:hint="eastAsia" w:ascii="仿宋_GB2312" w:hAnsi="仿宋_GB2312" w:eastAsia="仿宋_GB2312" w:cs="仿宋_GB2312"/>
          <w:color w:val="auto"/>
          <w:sz w:val="32"/>
          <w:szCs w:val="32"/>
        </w:rPr>
        <w:t>选择经审核通过后的申报产品进行报名操作。</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（二）允许同一申报产品有多个规格型号，但在正式信息申报时应当予以明确。</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（三）报名时，同一申报产品下有多个规格型号的，均纳入报名范围。</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w:t>
      </w:r>
      <w:r>
        <w:rPr>
          <w:rFonts w:ascii="仿宋_GB2312" w:hAnsi="仿宋_GB2312" w:eastAsia="仿宋_GB2312" w:cs="仿宋_GB2312"/>
          <w:color w:val="auto"/>
          <w:sz w:val="32"/>
          <w:szCs w:val="32"/>
        </w:rPr>
        <w:t>未按时</w:t>
      </w:r>
      <w:r>
        <w:rPr>
          <w:rFonts w:hint="eastAsia" w:ascii="仿宋_GB2312" w:hAnsi="仿宋_GB2312" w:eastAsia="仿宋_GB2312" w:cs="仿宋_GB2312"/>
          <w:color w:val="auto"/>
          <w:sz w:val="32"/>
          <w:szCs w:val="32"/>
        </w:rPr>
        <w:t>进行正式信息申报</w:t>
      </w:r>
      <w:r>
        <w:rPr>
          <w:rFonts w:ascii="仿宋_GB2312" w:hAnsi="仿宋_GB2312" w:eastAsia="仿宋_GB2312" w:cs="仿宋_GB2312"/>
          <w:color w:val="auto"/>
          <w:sz w:val="32"/>
          <w:szCs w:val="32"/>
        </w:rPr>
        <w:t>的，后果由企业自行承担。</w:t>
      </w:r>
      <w:bookmarkStart w:id="34" w:name="_Hlk103506421"/>
      <w:r>
        <w:rPr>
          <w:rFonts w:hint="eastAsia" w:ascii="仿宋_GB2312" w:hAnsi="仿宋_GB2312" w:eastAsia="仿宋_GB2312" w:cs="仿宋_GB2312"/>
          <w:color w:val="auto"/>
          <w:sz w:val="32"/>
          <w:szCs w:val="32"/>
        </w:rPr>
        <w:t>交易中心将对申报企业及产品进行审核，审核通过后的申报企业和产品方能参与价格谈判。</w:t>
      </w:r>
      <w:bookmarkEnd w:id="34"/>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（五）《正式信息申报详细操作指引》见本公告附件。</w:t>
      </w:r>
    </w:p>
    <w:p>
      <w:pPr>
        <w:spacing w:line="560" w:lineRule="exact"/>
        <w:ind w:left="0" w:firstLine="640" w:firstLineChars="200"/>
        <w:jc w:val="both"/>
        <w:outlineLvl w:val="1"/>
        <w:rPr>
          <w:rFonts w:ascii="黑体" w:hAnsi="黑体" w:eastAsia="黑体" w:cs="黑体"/>
          <w:color w:val="auto"/>
          <w:kern w:val="2"/>
          <w:sz w:val="32"/>
          <w:szCs w:val="32"/>
        </w:rPr>
      </w:pPr>
      <w:bookmarkStart w:id="35" w:name="_Toc6009"/>
      <w:bookmarkStart w:id="36" w:name="_Toc7497"/>
      <w:bookmarkStart w:id="37" w:name="_Toc5914"/>
      <w:r>
        <w:rPr>
          <w:rFonts w:hint="eastAsia" w:ascii="黑体" w:hAnsi="黑体" w:eastAsia="黑体" w:cs="黑体"/>
          <w:color w:val="auto"/>
          <w:kern w:val="2"/>
          <w:sz w:val="32"/>
          <w:szCs w:val="32"/>
        </w:rPr>
        <w:t>七、谈判方式和时间</w:t>
      </w:r>
      <w:bookmarkEnd w:id="35"/>
      <w:bookmarkEnd w:id="36"/>
      <w:bookmarkEnd w:id="37"/>
    </w:p>
    <w:p>
      <w:pPr>
        <w:adjustRightInd w:val="0"/>
        <w:snapToGrid w:val="0"/>
        <w:spacing w:line="560" w:lineRule="exact"/>
        <w:ind w:left="0" w:firstLine="640" w:firstLineChars="200"/>
        <w:jc w:val="both"/>
        <w:rPr>
          <w:color w:val="auto"/>
        </w:rPr>
      </w:pPr>
      <w:r>
        <w:rPr>
          <w:rFonts w:hint="eastAsia" w:ascii="仿宋_GB2312" w:eastAsia="仿宋_GB2312" w:hAnsiTheme="minorHAnsi" w:cstheme="minorBidi"/>
          <w:color w:val="auto"/>
          <w:kern w:val="2"/>
          <w:sz w:val="32"/>
          <w:szCs w:val="32"/>
        </w:rPr>
        <w:t>谈判企业按报价通知（另行发布）要求，在规定时间内进行谈判报价。谈判企业应提前阅读《谈判报价操作手册》（届时作为报价通知的附件），未报价、未加密或者不符合报价要求的，视为自动放弃，后果由谈判企业自行承担。</w:t>
      </w:r>
    </w:p>
    <w:p>
      <w:pPr>
        <w:spacing w:line="560" w:lineRule="exact"/>
        <w:ind w:left="0" w:firstLine="640" w:firstLineChars="200"/>
        <w:jc w:val="both"/>
        <w:outlineLvl w:val="1"/>
        <w:rPr>
          <w:color w:val="auto"/>
        </w:rPr>
      </w:pPr>
      <w:bookmarkStart w:id="38" w:name="_Toc18084"/>
      <w:bookmarkStart w:id="39" w:name="_Toc1417"/>
      <w:bookmarkStart w:id="40" w:name="_Toc10918"/>
      <w:r>
        <w:rPr>
          <w:rFonts w:hint="eastAsia" w:ascii="黑体" w:hAnsi="黑体" w:eastAsia="黑体" w:cs="黑体"/>
          <w:color w:val="auto"/>
          <w:kern w:val="2"/>
          <w:sz w:val="32"/>
          <w:szCs w:val="32"/>
        </w:rPr>
        <w:t>八、信息公开方式</w:t>
      </w:r>
      <w:bookmarkEnd w:id="38"/>
      <w:bookmarkEnd w:id="39"/>
      <w:bookmarkEnd w:id="40"/>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通过深圳公共资源交易网（http</w:t>
      </w:r>
      <w:r>
        <w:rPr>
          <w:rFonts w:hint="eastAsia" w:ascii="仿宋_GB2312" w:hAnsi="仿宋_GB2312" w:eastAsia="仿宋_GB2312" w:cs="仿宋_GB2312"/>
          <w:color w:val="auto"/>
          <w:sz w:val="32"/>
          <w:szCs w:val="32"/>
          <w:lang w:val="en-US" w:eastAsia="zh-CN"/>
        </w:rPr>
        <w:t>s</w:t>
      </w:r>
      <w:r>
        <w:rPr>
          <w:rFonts w:hint="eastAsia" w:ascii="仿宋_GB2312" w:hAnsi="仿宋_GB2312" w:eastAsia="仿宋_GB2312" w:cs="仿宋_GB2312"/>
          <w:color w:val="auto"/>
          <w:sz w:val="32"/>
          <w:szCs w:val="32"/>
        </w:rPr>
        <w:t>://www.szggzy.com/）发布本次价格谈判相关通知（公告），内容包括但不限于</w:t>
      </w:r>
      <w:r>
        <w:rPr>
          <w:rFonts w:hint="eastAsia" w:ascii="仿宋_GB2312" w:hAnsi="仿宋_GB2312" w:eastAsia="仿宋_GB2312" w:cs="仿宋_GB2312"/>
          <w:color w:val="auto"/>
          <w:sz w:val="32"/>
          <w:szCs w:val="32"/>
          <w:lang w:val="en-US" w:eastAsia="zh-CN"/>
        </w:rPr>
        <w:t>谈判报名、</w:t>
      </w:r>
      <w:r>
        <w:rPr>
          <w:rFonts w:hint="eastAsia" w:ascii="仿宋_GB2312" w:hAnsi="仿宋_GB2312" w:eastAsia="仿宋_GB2312" w:cs="仿宋_GB2312"/>
          <w:color w:val="auto"/>
          <w:sz w:val="32"/>
          <w:szCs w:val="32"/>
        </w:rPr>
        <w:t>产品分类信息公开</w:t>
      </w:r>
      <w:r>
        <w:rPr>
          <w:rFonts w:hint="eastAsia" w:ascii="仿宋_GB2312" w:hAnsi="仿宋_GB2312" w:eastAsia="仿宋_GB2312" w:cs="仿宋_GB2312"/>
          <w:color w:val="auto"/>
          <w:sz w:val="32"/>
          <w:szCs w:val="32"/>
          <w:lang w:val="en-US" w:eastAsia="zh-CN"/>
        </w:rPr>
        <w:t>和</w:t>
      </w:r>
      <w:r>
        <w:rPr>
          <w:rFonts w:hint="eastAsia" w:ascii="仿宋_GB2312" w:hAnsi="仿宋_GB2312" w:eastAsia="仿宋_GB2312" w:cs="仿宋_GB2312"/>
          <w:color w:val="auto"/>
          <w:sz w:val="32"/>
          <w:szCs w:val="32"/>
        </w:rPr>
        <w:t>谈判基准价信息公开等，敬请留意。</w:t>
      </w:r>
    </w:p>
    <w:p>
      <w:pPr>
        <w:spacing w:line="560" w:lineRule="exact"/>
        <w:ind w:left="0" w:firstLine="640" w:firstLineChars="200"/>
        <w:jc w:val="both"/>
        <w:outlineLvl w:val="1"/>
        <w:rPr>
          <w:rFonts w:ascii="黑体" w:hAnsi="黑体" w:eastAsia="黑体" w:cs="黑体"/>
          <w:color w:val="auto"/>
          <w:kern w:val="2"/>
          <w:sz w:val="32"/>
          <w:szCs w:val="32"/>
        </w:rPr>
      </w:pPr>
      <w:bookmarkStart w:id="41" w:name="_Toc9944"/>
      <w:bookmarkStart w:id="42" w:name="_Toc27362"/>
      <w:bookmarkStart w:id="43" w:name="_Toc17892"/>
      <w:r>
        <w:rPr>
          <w:rFonts w:hint="eastAsia" w:ascii="黑体" w:hAnsi="黑体" w:eastAsia="黑体" w:cs="黑体"/>
          <w:color w:val="auto"/>
          <w:kern w:val="2"/>
          <w:sz w:val="32"/>
          <w:szCs w:val="32"/>
        </w:rPr>
        <w:t>九、联系方式</w:t>
      </w:r>
      <w:bookmarkEnd w:id="41"/>
      <w:bookmarkEnd w:id="42"/>
      <w:bookmarkEnd w:id="43"/>
    </w:p>
    <w:p>
      <w:pPr>
        <w:adjustRightInd w:val="0"/>
        <w:snapToGrid w:val="0"/>
        <w:spacing w:line="560" w:lineRule="exact"/>
        <w:ind w:left="0" w:firstLine="640" w:firstLineChars="20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名称：深圳公共资源交易中心</w:t>
      </w:r>
    </w:p>
    <w:p>
      <w:pPr>
        <w:adjustRightInd w:val="0"/>
        <w:snapToGrid w:val="0"/>
        <w:spacing w:line="560" w:lineRule="exact"/>
        <w:ind w:left="0" w:firstLine="640" w:firstLineChars="20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地址：深圳市南山区沙河西路3185号南山智谷产业园A座（深圳交易集团总部大楼）2</w:t>
      </w:r>
      <w:r>
        <w:rPr>
          <w:rFonts w:hint="eastAsia" w:ascii="仿宋_GB2312" w:hAnsi="仿宋_GB2312" w:eastAsia="仿宋_GB2312" w:cs="仿宋_GB2312"/>
          <w:color w:val="auto"/>
          <w:sz w:val="32"/>
          <w:szCs w:val="32"/>
          <w:lang w:val="en-US" w:eastAsia="zh-CN"/>
        </w:rPr>
        <w:t>9</w:t>
      </w:r>
      <w:r>
        <w:rPr>
          <w:rFonts w:hint="eastAsia" w:ascii="仿宋_GB2312" w:hAnsi="仿宋_GB2312" w:eastAsia="仿宋_GB2312" w:cs="仿宋_GB2312"/>
          <w:color w:val="auto"/>
          <w:sz w:val="32"/>
          <w:szCs w:val="32"/>
        </w:rPr>
        <w:t>楼</w:t>
      </w:r>
    </w:p>
    <w:p>
      <w:pPr>
        <w:adjustRightInd w:val="0"/>
        <w:snapToGrid w:val="0"/>
        <w:spacing w:line="560" w:lineRule="exact"/>
        <w:ind w:left="0" w:firstLine="640" w:firstLineChars="200"/>
        <w:jc w:val="both"/>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电话：</w:t>
      </w:r>
      <w:r>
        <w:rPr>
          <w:rFonts w:hint="eastAsia" w:ascii="仿宋_GB2312" w:hAnsi="仿宋" w:eastAsia="仿宋_GB2312"/>
          <w:color w:val="auto"/>
          <w:sz w:val="32"/>
          <w:szCs w:val="32"/>
        </w:rPr>
        <w:t>0755-8865326</w:t>
      </w:r>
      <w:r>
        <w:rPr>
          <w:rFonts w:hint="eastAsia" w:ascii="仿宋_GB2312" w:hAnsi="仿宋" w:eastAsia="仿宋_GB2312"/>
          <w:color w:val="auto"/>
          <w:sz w:val="32"/>
          <w:szCs w:val="32"/>
          <w:lang w:val="en-US" w:eastAsia="zh-CN"/>
        </w:rPr>
        <w:t>8</w:t>
      </w:r>
    </w:p>
    <w:p>
      <w:pPr>
        <w:spacing w:line="560" w:lineRule="exact"/>
        <w:ind w:left="0" w:firstLine="640" w:firstLineChars="200"/>
        <w:jc w:val="both"/>
        <w:outlineLvl w:val="1"/>
        <w:rPr>
          <w:rFonts w:ascii="黑体" w:hAnsi="黑体" w:eastAsia="黑体" w:cs="黑体"/>
          <w:color w:val="auto"/>
          <w:kern w:val="2"/>
          <w:sz w:val="32"/>
          <w:szCs w:val="32"/>
        </w:rPr>
      </w:pPr>
      <w:bookmarkStart w:id="44" w:name="_Toc8739"/>
      <w:bookmarkStart w:id="45" w:name="_Toc20005"/>
      <w:bookmarkStart w:id="46" w:name="_Toc17776"/>
      <w:r>
        <w:rPr>
          <w:rFonts w:hint="eastAsia" w:ascii="黑体" w:hAnsi="黑体" w:eastAsia="黑体" w:cs="黑体"/>
          <w:color w:val="auto"/>
          <w:kern w:val="2"/>
          <w:sz w:val="32"/>
          <w:szCs w:val="32"/>
        </w:rPr>
        <w:t>十、其他</w:t>
      </w:r>
      <w:bookmarkEnd w:id="44"/>
      <w:bookmarkEnd w:id="45"/>
      <w:bookmarkEnd w:id="46"/>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w:t>
      </w:r>
      <w:r>
        <w:rPr>
          <w:rFonts w:hint="eastAsia" w:ascii="仿宋_GB2312" w:hAnsi="仿宋_GB2312" w:eastAsia="仿宋_GB2312" w:cs="仿宋_GB2312"/>
          <w:color w:val="auto"/>
          <w:sz w:val="32"/>
          <w:szCs w:val="32"/>
          <w:lang w:eastAsia="zh-CN"/>
        </w:rPr>
        <w:t>2022年3月1日至2023年2月28日</w:t>
      </w:r>
      <w:r>
        <w:rPr>
          <w:rFonts w:hint="eastAsia" w:ascii="仿宋_GB2312" w:hAnsi="仿宋_GB2312" w:eastAsia="仿宋_GB2312" w:cs="仿宋_GB2312"/>
          <w:color w:val="auto"/>
          <w:sz w:val="32"/>
          <w:szCs w:val="32"/>
        </w:rPr>
        <w:t>期间在深圳公立医疗机构有采购记录的</w:t>
      </w:r>
      <w:r>
        <w:rPr>
          <w:rFonts w:hint="eastAsia" w:ascii="仿宋_GB2312" w:hAnsi="仿宋_GB2312" w:eastAsia="仿宋_GB2312" w:cs="仿宋_GB2312"/>
          <w:color w:val="auto"/>
          <w:sz w:val="32"/>
          <w:szCs w:val="32"/>
          <w:lang w:eastAsia="zh-CN"/>
        </w:rPr>
        <w:t>泌尿介入导丝等五类医用耗材</w:t>
      </w:r>
      <w:r>
        <w:rPr>
          <w:rFonts w:hint="eastAsia" w:ascii="仿宋_GB2312" w:hAnsi="仿宋_GB2312" w:eastAsia="仿宋_GB2312" w:cs="仿宋_GB2312"/>
          <w:color w:val="auto"/>
          <w:sz w:val="32"/>
          <w:szCs w:val="32"/>
        </w:rPr>
        <w:t>产品纳入本次价格谈判</w:t>
      </w:r>
      <w:r>
        <w:rPr>
          <w:rFonts w:hint="eastAsia" w:ascii="仿宋_GB2312" w:hAnsi="仿宋_GB2312" w:eastAsia="仿宋_GB2312" w:cs="仿宋_GB2312"/>
          <w:color w:val="auto"/>
          <w:sz w:val="32"/>
          <w:szCs w:val="32"/>
          <w:lang w:val="en-US" w:eastAsia="zh-CN"/>
        </w:rPr>
        <w:t>公告通知</w:t>
      </w:r>
      <w:r>
        <w:rPr>
          <w:rFonts w:hint="eastAsia" w:ascii="仿宋_GB2312" w:hAnsi="仿宋_GB2312" w:eastAsia="仿宋_GB2312" w:cs="仿宋_GB2312"/>
          <w:color w:val="auto"/>
          <w:sz w:val="32"/>
          <w:szCs w:val="32"/>
        </w:rPr>
        <w:t>范围，</w:t>
      </w:r>
      <w:bookmarkStart w:id="47" w:name="_Hlk110095722"/>
      <w:r>
        <w:rPr>
          <w:rFonts w:hint="eastAsia" w:ascii="仿宋_GB2312" w:hAnsi="仿宋_GB2312" w:eastAsia="仿宋_GB2312" w:cs="仿宋_GB2312"/>
          <w:color w:val="auto"/>
          <w:sz w:val="32"/>
          <w:szCs w:val="32"/>
        </w:rPr>
        <w:t>未纳入</w:t>
      </w:r>
      <w:r>
        <w:rPr>
          <w:rFonts w:hint="eastAsia" w:ascii="仿宋_GB2312" w:hAnsi="仿宋_GB2312" w:eastAsia="仿宋_GB2312" w:cs="仿宋_GB2312"/>
          <w:color w:val="auto"/>
          <w:sz w:val="32"/>
          <w:szCs w:val="32"/>
          <w:lang w:val="en-US" w:eastAsia="zh-CN"/>
        </w:rPr>
        <w:t>公告通知</w:t>
      </w:r>
      <w:r>
        <w:rPr>
          <w:rFonts w:hint="eastAsia" w:ascii="仿宋_GB2312" w:hAnsi="仿宋_GB2312" w:eastAsia="仿宋_GB2312" w:cs="仿宋_GB2312"/>
          <w:color w:val="auto"/>
          <w:sz w:val="32"/>
          <w:szCs w:val="32"/>
        </w:rPr>
        <w:t>范围但在本次谈判品种范围内的产品亦可参与。</w:t>
      </w:r>
      <w:bookmarkEnd w:id="47"/>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（二）如遇不可抗力因素造成相关工作无法进行的，经上报医疗保障部门同意后，交易中心可宣布相关工作暂停，并择时再行开展。</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（三）本次价格谈判结果执行时间等事项由医疗保障部门另行公布。</w:t>
      </w:r>
    </w:p>
    <w:p>
      <w:pPr>
        <w:spacing w:line="560" w:lineRule="exact"/>
        <w:jc w:val="both"/>
        <w:rPr>
          <w:rFonts w:ascii="方正小标宋简体" w:hAnsi="方正小标宋简体" w:eastAsia="方正小标宋简体" w:cs="方正小标宋简体"/>
          <w:color w:val="auto"/>
          <w:kern w:val="2"/>
        </w:rPr>
      </w:pPr>
      <w:bookmarkStart w:id="48" w:name="_Toc31536"/>
      <w:bookmarkStart w:id="49" w:name="_Toc16036"/>
      <w:bookmarkStart w:id="50" w:name="_Toc24996"/>
      <w:bookmarkStart w:id="51" w:name="_Toc10997"/>
      <w:r>
        <w:rPr>
          <w:rFonts w:hint="eastAsia" w:ascii="方正小标宋简体" w:hAnsi="方正小标宋简体" w:eastAsia="方正小标宋简体" w:cs="方正小标宋简体"/>
          <w:color w:val="auto"/>
          <w:kern w:val="2"/>
        </w:rPr>
        <w:br w:type="page"/>
      </w:r>
    </w:p>
    <w:p>
      <w:pPr>
        <w:pStyle w:val="3"/>
        <w:spacing w:after="163" w:afterLines="50" w:line="560" w:lineRule="exact"/>
        <w:ind w:left="0" w:firstLine="880" w:firstLineChars="200"/>
        <w:jc w:val="center"/>
        <w:rPr>
          <w:rFonts w:ascii="黑体" w:hAnsi="黑体" w:eastAsia="黑体" w:cs="黑体"/>
          <w:color w:val="auto"/>
          <w:kern w:val="2"/>
          <w:sz w:val="32"/>
          <w:szCs w:val="32"/>
        </w:rPr>
      </w:pPr>
      <w:r>
        <w:rPr>
          <w:rFonts w:hint="eastAsia" w:ascii="方正小标宋简体" w:hAnsi="方正小标宋简体" w:eastAsia="方正小标宋简体" w:cs="方正小标宋简体"/>
          <w:b w:val="0"/>
          <w:bCs w:val="0"/>
          <w:color w:val="auto"/>
          <w:kern w:val="2"/>
        </w:rPr>
        <w:t>第二部分 谈判企业须知</w:t>
      </w:r>
      <w:bookmarkEnd w:id="48"/>
      <w:bookmarkEnd w:id="49"/>
      <w:bookmarkEnd w:id="50"/>
    </w:p>
    <w:p>
      <w:pPr>
        <w:spacing w:line="560" w:lineRule="exact"/>
        <w:ind w:left="0" w:firstLine="640" w:firstLineChars="200"/>
        <w:jc w:val="both"/>
        <w:outlineLvl w:val="1"/>
        <w:rPr>
          <w:rFonts w:ascii="黑体" w:hAnsi="黑体" w:eastAsia="黑体" w:cs="黑体"/>
          <w:color w:val="auto"/>
          <w:kern w:val="2"/>
          <w:sz w:val="32"/>
          <w:szCs w:val="32"/>
        </w:rPr>
      </w:pPr>
      <w:bookmarkStart w:id="52" w:name="_Toc13252"/>
      <w:bookmarkStart w:id="53" w:name="_Toc31190"/>
      <w:r>
        <w:rPr>
          <w:rFonts w:hint="eastAsia" w:ascii="黑体" w:hAnsi="黑体" w:eastAsia="黑体" w:cs="黑体"/>
          <w:color w:val="auto"/>
          <w:kern w:val="2"/>
          <w:sz w:val="32"/>
          <w:szCs w:val="32"/>
        </w:rPr>
        <w:t>一、产品类别、谈判基准价及谈判目标价</w:t>
      </w:r>
      <w:bookmarkEnd w:id="52"/>
    </w:p>
    <w:p>
      <w:pPr>
        <w:pStyle w:val="13"/>
        <w:numPr>
          <w:ilvl w:val="255"/>
          <w:numId w:val="0"/>
        </w:numPr>
        <w:spacing w:line="560" w:lineRule="exact"/>
        <w:ind w:firstLine="640" w:firstLineChars="200"/>
        <w:jc w:val="both"/>
        <w:outlineLvl w:val="2"/>
        <w:rPr>
          <w:rFonts w:ascii="楷体_GB2312" w:hAnsi="楷体_GB2312" w:eastAsia="楷体_GB2312" w:cs="楷体_GB2312"/>
          <w:color w:val="auto"/>
          <w:kern w:val="2"/>
          <w:sz w:val="32"/>
          <w:szCs w:val="32"/>
        </w:rPr>
      </w:pPr>
      <w:r>
        <w:rPr>
          <w:rFonts w:hint="eastAsia" w:ascii="楷体_GB2312" w:hAnsi="楷体_GB2312" w:eastAsia="楷体_GB2312" w:cs="楷体_GB2312"/>
          <w:color w:val="auto"/>
          <w:kern w:val="2"/>
          <w:sz w:val="32"/>
          <w:szCs w:val="32"/>
        </w:rPr>
        <w:t>（一）产品类别</w:t>
      </w:r>
    </w:p>
    <w:p>
      <w:pPr>
        <w:pStyle w:val="6"/>
        <w:spacing w:line="560" w:lineRule="exact"/>
        <w:ind w:left="0" w:firstLine="640" w:firstLineChars="200"/>
        <w:jc w:val="both"/>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根据产品材质属性、结构特征和功能等因素，结合</w:t>
      </w:r>
      <w:bookmarkStart w:id="54" w:name="_Hlk103347913"/>
      <w:r>
        <w:rPr>
          <w:rFonts w:hint="eastAsia" w:ascii="仿宋_GB2312" w:hAnsi="仿宋_GB2312" w:eastAsia="仿宋_GB2312" w:cs="仿宋_GB2312"/>
          <w:color w:val="auto"/>
          <w:sz w:val="32"/>
          <w:szCs w:val="32"/>
        </w:rPr>
        <w:t>深圳阳光平台数据等对报名产品进行分</w:t>
      </w:r>
      <w:bookmarkEnd w:id="54"/>
      <w:r>
        <w:rPr>
          <w:rFonts w:hint="eastAsia" w:ascii="仿宋_GB2312" w:hAnsi="仿宋_GB2312" w:eastAsia="仿宋_GB2312" w:cs="仿宋_GB2312"/>
          <w:color w:val="auto"/>
          <w:sz w:val="32"/>
          <w:szCs w:val="32"/>
        </w:rPr>
        <w:t>类。</w:t>
      </w:r>
    </w:p>
    <w:p>
      <w:pPr>
        <w:pStyle w:val="13"/>
        <w:numPr>
          <w:ilvl w:val="255"/>
          <w:numId w:val="0"/>
        </w:numPr>
        <w:spacing w:line="560" w:lineRule="exact"/>
        <w:ind w:firstLine="640" w:firstLineChars="200"/>
        <w:jc w:val="both"/>
        <w:outlineLvl w:val="2"/>
        <w:rPr>
          <w:rFonts w:ascii="楷体_GB2312" w:hAnsi="楷体_GB2312" w:eastAsia="楷体_GB2312" w:cs="楷体_GB2312"/>
          <w:color w:val="auto"/>
          <w:kern w:val="2"/>
          <w:sz w:val="32"/>
          <w:szCs w:val="32"/>
        </w:rPr>
      </w:pPr>
      <w:r>
        <w:rPr>
          <w:rFonts w:hint="eastAsia" w:ascii="楷体_GB2312" w:hAnsi="楷体_GB2312" w:eastAsia="楷体_GB2312" w:cs="楷体_GB2312"/>
          <w:color w:val="auto"/>
          <w:kern w:val="2"/>
          <w:sz w:val="32"/>
          <w:szCs w:val="32"/>
        </w:rPr>
        <w:t>（二）谈判基准价</w:t>
      </w:r>
    </w:p>
    <w:p>
      <w:pPr>
        <w:pStyle w:val="6"/>
        <w:spacing w:line="560" w:lineRule="exact"/>
        <w:ind w:left="0" w:firstLine="640" w:firstLineChars="200"/>
        <w:jc w:val="both"/>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原则上以申报产品的平台挂网参考限价和医疗机构现行最低采购价的低值作为产品价格谈判基准价（</w:t>
      </w:r>
      <w:r>
        <w:rPr>
          <w:rFonts w:hint="eastAsia" w:ascii="仿宋_GB2312" w:eastAsia="仿宋_GB2312" w:cstheme="minorBidi"/>
          <w:color w:val="auto"/>
          <w:kern w:val="2"/>
          <w:sz w:val="32"/>
          <w:szCs w:val="32"/>
        </w:rPr>
        <w:t>P0</w:t>
      </w:r>
      <w:r>
        <w:rPr>
          <w:rFonts w:hint="eastAsia" w:ascii="仿宋_GB2312" w:hAnsi="仿宋_GB2312" w:eastAsia="仿宋_GB2312" w:cs="仿宋_GB2312"/>
          <w:color w:val="auto"/>
          <w:sz w:val="32"/>
          <w:szCs w:val="32"/>
        </w:rPr>
        <w:t>）。</w:t>
      </w:r>
    </w:p>
    <w:p>
      <w:pPr>
        <w:pStyle w:val="13"/>
        <w:numPr>
          <w:ilvl w:val="255"/>
          <w:numId w:val="0"/>
        </w:numPr>
        <w:spacing w:line="560" w:lineRule="exact"/>
        <w:ind w:firstLine="640" w:firstLineChars="200"/>
        <w:jc w:val="both"/>
        <w:outlineLvl w:val="2"/>
        <w:rPr>
          <w:rFonts w:ascii="楷体_GB2312" w:hAnsi="楷体_GB2312" w:eastAsia="楷体_GB2312" w:cs="楷体_GB2312"/>
          <w:color w:val="auto"/>
          <w:kern w:val="2"/>
          <w:sz w:val="32"/>
          <w:szCs w:val="32"/>
        </w:rPr>
      </w:pPr>
      <w:r>
        <w:rPr>
          <w:rFonts w:hint="eastAsia" w:ascii="楷体_GB2312" w:hAnsi="楷体_GB2312" w:eastAsia="楷体_GB2312" w:cs="楷体_GB2312"/>
          <w:color w:val="auto"/>
          <w:kern w:val="2"/>
          <w:sz w:val="32"/>
          <w:szCs w:val="32"/>
        </w:rPr>
        <w:t>（三）谈判目标价</w:t>
      </w:r>
    </w:p>
    <w:p>
      <w:pPr>
        <w:pStyle w:val="2"/>
        <w:autoSpaceDE/>
        <w:autoSpaceDN/>
        <w:spacing w:line="560" w:lineRule="exact"/>
        <w:ind w:firstLine="640" w:firstLineChars="200"/>
        <w:jc w:val="both"/>
        <w:rPr>
          <w:rFonts w:ascii="仿宋_GB2312" w:hAnsi="宋体" w:eastAsia="仿宋_GB2312" w:cstheme="minorBidi"/>
          <w:color w:val="auto"/>
          <w:kern w:val="2"/>
          <w:sz w:val="32"/>
          <w:szCs w:val="32"/>
        </w:rPr>
      </w:pPr>
      <w:r>
        <w:rPr>
          <w:rFonts w:hint="eastAsia" w:ascii="仿宋_GB2312" w:hAnsi="宋体" w:eastAsia="仿宋_GB2312" w:cstheme="minorBidi"/>
          <w:color w:val="auto"/>
          <w:kern w:val="2"/>
          <w:sz w:val="32"/>
          <w:szCs w:val="32"/>
        </w:rPr>
        <w:t>综合考虑各产品在我市公立医疗机构采购数量、采购价格和同类产品市场整体真实价格水平，经相关程序确定每个产品的谈判目标价（Pa）。</w:t>
      </w:r>
    </w:p>
    <w:p>
      <w:pPr>
        <w:pStyle w:val="2"/>
        <w:autoSpaceDE/>
        <w:autoSpaceDN/>
        <w:spacing w:line="560" w:lineRule="exact"/>
        <w:ind w:firstLine="640" w:firstLineChars="200"/>
        <w:jc w:val="both"/>
        <w:rPr>
          <w:rFonts w:ascii="黑体" w:hAnsi="黑体" w:eastAsia="黑体" w:cs="黑体"/>
          <w:color w:val="auto"/>
          <w:kern w:val="2"/>
          <w:sz w:val="32"/>
          <w:szCs w:val="32"/>
        </w:rPr>
      </w:pPr>
      <w:r>
        <w:rPr>
          <w:rFonts w:hint="eastAsia" w:ascii="仿宋_GB2312" w:eastAsia="仿宋_GB2312"/>
          <w:color w:val="auto"/>
          <w:sz w:val="32"/>
          <w:szCs w:val="32"/>
        </w:rPr>
        <w:t>产品分类、各产品的谈判基准价等情况在谈判报价前向该产品类别的各申报企业公开</w:t>
      </w:r>
      <w:r>
        <w:rPr>
          <w:rFonts w:hint="eastAsia" w:ascii="仿宋_GB2312" w:eastAsia="仿宋_GB2312" w:cstheme="minorBidi"/>
          <w:color w:val="auto"/>
          <w:kern w:val="2"/>
          <w:sz w:val="32"/>
          <w:szCs w:val="32"/>
        </w:rPr>
        <w:t>三个工作日并接受相关申（投）诉。</w:t>
      </w:r>
    </w:p>
    <w:p>
      <w:pPr>
        <w:spacing w:line="560" w:lineRule="exact"/>
        <w:ind w:left="0" w:firstLine="640" w:firstLineChars="200"/>
        <w:jc w:val="both"/>
        <w:outlineLvl w:val="1"/>
        <w:rPr>
          <w:rFonts w:ascii="黑体" w:hAnsi="黑体" w:eastAsia="黑体" w:cs="黑体"/>
          <w:color w:val="auto"/>
          <w:kern w:val="2"/>
          <w:sz w:val="32"/>
          <w:szCs w:val="32"/>
        </w:rPr>
      </w:pPr>
      <w:bookmarkStart w:id="55" w:name="_Toc2620"/>
      <w:r>
        <w:rPr>
          <w:rFonts w:hint="eastAsia" w:ascii="黑体" w:hAnsi="黑体" w:eastAsia="黑体" w:cs="黑体"/>
          <w:color w:val="auto"/>
          <w:kern w:val="2"/>
          <w:sz w:val="32"/>
          <w:szCs w:val="32"/>
        </w:rPr>
        <w:t>二、报价</w:t>
      </w:r>
      <w:bookmarkEnd w:id="51"/>
      <w:r>
        <w:rPr>
          <w:rFonts w:hint="eastAsia" w:ascii="黑体" w:hAnsi="黑体" w:eastAsia="黑体" w:cs="黑体"/>
          <w:color w:val="auto"/>
          <w:kern w:val="2"/>
          <w:sz w:val="32"/>
          <w:szCs w:val="32"/>
        </w:rPr>
        <w:t>规则</w:t>
      </w:r>
      <w:bookmarkEnd w:id="53"/>
      <w:bookmarkEnd w:id="55"/>
    </w:p>
    <w:p>
      <w:pPr>
        <w:pStyle w:val="13"/>
        <w:numPr>
          <w:ilvl w:val="255"/>
          <w:numId w:val="0"/>
        </w:numPr>
        <w:spacing w:line="560" w:lineRule="exact"/>
        <w:ind w:firstLine="640" w:firstLineChars="200"/>
        <w:jc w:val="both"/>
        <w:outlineLvl w:val="2"/>
        <w:rPr>
          <w:rFonts w:ascii="楷体_GB2312" w:hAnsi="楷体_GB2312" w:eastAsia="楷体_GB2312" w:cs="楷体_GB2312"/>
          <w:color w:val="auto"/>
          <w:kern w:val="2"/>
          <w:sz w:val="32"/>
          <w:szCs w:val="32"/>
        </w:rPr>
      </w:pPr>
      <w:r>
        <w:rPr>
          <w:rFonts w:hint="eastAsia" w:ascii="楷体_GB2312" w:hAnsi="楷体_GB2312" w:eastAsia="楷体_GB2312" w:cs="楷体_GB2312"/>
          <w:color w:val="auto"/>
          <w:kern w:val="2"/>
          <w:sz w:val="32"/>
          <w:szCs w:val="32"/>
        </w:rPr>
        <w:t>（一）报价须知</w:t>
      </w:r>
    </w:p>
    <w:p>
      <w:pPr>
        <w:pStyle w:val="13"/>
        <w:numPr>
          <w:ilvl w:val="255"/>
          <w:numId w:val="0"/>
        </w:numPr>
        <w:spacing w:line="560" w:lineRule="exact"/>
        <w:ind w:firstLine="640" w:firstLineChars="200"/>
        <w:jc w:val="both"/>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1.本次医用耗材价格谈判以产品为报价单元，最小计量单位为报价单位。谈判价格以人民币“元”为单位填报，保留至小数点后2位。</w:t>
      </w:r>
    </w:p>
    <w:p>
      <w:pPr>
        <w:pStyle w:val="13"/>
        <w:numPr>
          <w:ilvl w:val="255"/>
          <w:numId w:val="0"/>
        </w:numPr>
        <w:spacing w:line="560" w:lineRule="exact"/>
        <w:ind w:firstLine="640" w:firstLineChars="200"/>
        <w:jc w:val="both"/>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2.谈判报价为谈判企业的实际供应价，应包含税费、配送费等所有费用。</w:t>
      </w:r>
    </w:p>
    <w:p>
      <w:pPr>
        <w:pStyle w:val="2"/>
        <w:autoSpaceDE/>
        <w:autoSpaceDN/>
        <w:spacing w:line="560" w:lineRule="exact"/>
        <w:ind w:firstLine="640" w:firstLineChars="200"/>
        <w:jc w:val="both"/>
        <w:rPr>
          <w:rFonts w:ascii="仿宋_GB2312" w:hAnsi="宋体" w:eastAsia="仿宋_GB2312" w:cstheme="minorBidi"/>
          <w:color w:val="auto"/>
          <w:kern w:val="2"/>
          <w:sz w:val="32"/>
          <w:szCs w:val="32"/>
        </w:rPr>
      </w:pPr>
      <w:r>
        <w:rPr>
          <w:rFonts w:hint="eastAsia" w:ascii="仿宋_GB2312" w:hAnsi="宋体" w:eastAsia="仿宋_GB2312" w:cstheme="minorBidi"/>
          <w:color w:val="auto"/>
          <w:kern w:val="2"/>
          <w:sz w:val="32"/>
          <w:szCs w:val="32"/>
        </w:rPr>
        <w:t>3.谈判企业需在规定时间内，登录深圳阳光平台对谈判产品进行报价并加密提交。未报价、未加密或者不符合报价要求的，视为自动放弃。</w:t>
      </w:r>
    </w:p>
    <w:p>
      <w:pPr>
        <w:pStyle w:val="6"/>
        <w:spacing w:line="560" w:lineRule="exact"/>
        <w:ind w:left="0" w:firstLine="640" w:firstLineChars="200"/>
        <w:jc w:val="both"/>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4.同一申报产品内涉及多个规格型号的，只能报一个价格。</w:t>
      </w:r>
    </w:p>
    <w:p>
      <w:pPr>
        <w:pStyle w:val="13"/>
        <w:numPr>
          <w:ilvl w:val="255"/>
          <w:numId w:val="0"/>
        </w:numPr>
        <w:spacing w:line="560" w:lineRule="exact"/>
        <w:ind w:firstLine="640" w:firstLineChars="200"/>
        <w:jc w:val="both"/>
        <w:outlineLvl w:val="2"/>
        <w:rPr>
          <w:rFonts w:ascii="楷体_GB2312" w:hAnsi="楷体_GB2312" w:eastAsia="楷体_GB2312" w:cs="楷体_GB2312"/>
          <w:color w:val="auto"/>
          <w:kern w:val="2"/>
          <w:sz w:val="32"/>
          <w:szCs w:val="32"/>
        </w:rPr>
      </w:pPr>
      <w:r>
        <w:rPr>
          <w:rFonts w:hint="eastAsia" w:ascii="楷体_GB2312" w:hAnsi="楷体_GB2312" w:eastAsia="楷体_GB2312" w:cs="楷体_GB2312"/>
          <w:color w:val="auto"/>
          <w:kern w:val="2"/>
          <w:sz w:val="32"/>
          <w:szCs w:val="32"/>
        </w:rPr>
        <w:t>（二）谈判报价</w:t>
      </w:r>
    </w:p>
    <w:p>
      <w:pPr>
        <w:pStyle w:val="2"/>
        <w:autoSpaceDE/>
        <w:autoSpaceDN/>
        <w:spacing w:line="560" w:lineRule="exact"/>
        <w:ind w:firstLine="640" w:firstLineChars="200"/>
        <w:jc w:val="both"/>
        <w:rPr>
          <w:rFonts w:ascii="仿宋_GB2312" w:hAnsi="宋体" w:eastAsia="仿宋_GB2312" w:cstheme="minorBidi"/>
          <w:color w:val="auto"/>
          <w:kern w:val="2"/>
          <w:sz w:val="32"/>
          <w:szCs w:val="32"/>
        </w:rPr>
      </w:pPr>
      <w:bookmarkStart w:id="56" w:name="_Toc2408"/>
      <w:bookmarkStart w:id="57" w:name="_Toc16546"/>
      <w:bookmarkStart w:id="58" w:name="_Toc26833"/>
      <w:bookmarkStart w:id="59" w:name="_Toc19250"/>
      <w:r>
        <w:rPr>
          <w:rFonts w:hint="eastAsia" w:ascii="仿宋_GB2312" w:eastAsia="仿宋_GB2312"/>
          <w:color w:val="auto"/>
          <w:sz w:val="32"/>
          <w:szCs w:val="32"/>
        </w:rPr>
        <w:t>谈判企业需在规定时间内，登录深圳阳光平台对谈判产品进行报价并加密提交。</w:t>
      </w:r>
      <w:r>
        <w:rPr>
          <w:rFonts w:hint="eastAsia" w:ascii="仿宋_GB2312" w:hAnsi="宋体" w:eastAsia="仿宋_GB2312" w:cstheme="minorBidi"/>
          <w:color w:val="auto"/>
          <w:kern w:val="2"/>
          <w:sz w:val="32"/>
          <w:szCs w:val="32"/>
        </w:rPr>
        <w:t>谈判企业以自身产品的谈判基准价（P0）为基础进行谈判报价，谈判报价分为三轮。</w:t>
      </w:r>
      <w:bookmarkStart w:id="60" w:name="_Hlk104735499"/>
      <w:bookmarkStart w:id="61" w:name="_Hlk104735427"/>
      <w:r>
        <w:rPr>
          <w:rFonts w:hint="eastAsia" w:ascii="仿宋_GB2312" w:eastAsia="仿宋_GB2312"/>
          <w:color w:val="auto"/>
          <w:sz w:val="32"/>
          <w:szCs w:val="32"/>
        </w:rPr>
        <w:t>按照前述规则未能确定谈判基准价（P0）的产品，深圳阳光平台不显示谈判基准价（P0），谈判企业根据自身实际供应价格进行谈判报价即可。</w:t>
      </w:r>
      <w:bookmarkEnd w:id="60"/>
      <w:bookmarkEnd w:id="61"/>
    </w:p>
    <w:p>
      <w:pPr>
        <w:pStyle w:val="2"/>
        <w:autoSpaceDE/>
        <w:autoSpaceDN/>
        <w:spacing w:line="560" w:lineRule="exact"/>
        <w:ind w:firstLine="640" w:firstLineChars="200"/>
        <w:jc w:val="both"/>
        <w:rPr>
          <w:rFonts w:ascii="宋体" w:eastAsia="宋体"/>
          <w:b/>
          <w:bCs/>
          <w:color w:val="auto"/>
          <w:szCs w:val="24"/>
        </w:rPr>
      </w:pPr>
      <w:r>
        <w:rPr>
          <w:rFonts w:hint="eastAsia" w:ascii="仿宋_GB2312" w:eastAsia="仿宋_GB2312"/>
          <w:color w:val="auto"/>
          <w:sz w:val="32"/>
          <w:szCs w:val="32"/>
        </w:rPr>
        <w:t>第一轮报价：谈判企业第一轮报价（</w:t>
      </w:r>
      <w:r>
        <w:rPr>
          <w:rFonts w:ascii="仿宋_GB2312" w:eastAsia="仿宋_GB2312"/>
          <w:color w:val="auto"/>
          <w:sz w:val="32"/>
          <w:szCs w:val="32"/>
        </w:rPr>
        <w:t>P1）须不高于谈判基准价（P0），否则视为无效报价。</w:t>
      </w:r>
    </w:p>
    <w:p>
      <w:pPr>
        <w:pStyle w:val="2"/>
        <w:autoSpaceDE/>
        <w:autoSpaceDN/>
        <w:spacing w:line="560" w:lineRule="exact"/>
        <w:ind w:firstLine="640" w:firstLineChars="200"/>
        <w:jc w:val="both"/>
        <w:rPr>
          <w:rFonts w:ascii="仿宋_GB2312" w:eastAsia="仿宋_GB2312"/>
          <w:color w:val="auto"/>
          <w:sz w:val="32"/>
          <w:szCs w:val="32"/>
        </w:rPr>
      </w:pPr>
      <w:r>
        <w:rPr>
          <w:rFonts w:hint="eastAsia" w:ascii="仿宋_GB2312" w:eastAsia="仿宋_GB2312"/>
          <w:color w:val="auto"/>
          <w:sz w:val="32"/>
          <w:szCs w:val="32"/>
        </w:rPr>
        <w:t>第二轮报价：</w:t>
      </w:r>
      <w:r>
        <w:rPr>
          <w:rFonts w:ascii="仿宋_GB2312" w:eastAsia="仿宋_GB2312"/>
          <w:color w:val="auto"/>
          <w:sz w:val="32"/>
          <w:szCs w:val="32"/>
        </w:rPr>
        <w:t>第一轮报价结束后，谈判企业根据报价系统反馈的信息进行第二轮报价（P2），第二轮报价（P2）须不高于第一轮报价（P1），否则视为无效报价。</w:t>
      </w:r>
    </w:p>
    <w:p>
      <w:pPr>
        <w:pStyle w:val="2"/>
        <w:autoSpaceDE/>
        <w:autoSpaceDN/>
        <w:spacing w:line="560" w:lineRule="exact"/>
        <w:ind w:firstLine="640" w:firstLineChars="200"/>
        <w:jc w:val="both"/>
        <w:rPr>
          <w:rFonts w:ascii="仿宋_GB2312" w:eastAsia="仿宋_GB2312"/>
          <w:color w:val="auto"/>
          <w:sz w:val="32"/>
          <w:szCs w:val="32"/>
        </w:rPr>
      </w:pPr>
      <w:r>
        <w:rPr>
          <w:rFonts w:hint="eastAsia" w:ascii="仿宋_GB2312" w:eastAsia="仿宋_GB2312"/>
          <w:color w:val="auto"/>
          <w:sz w:val="32"/>
          <w:szCs w:val="32"/>
        </w:rPr>
        <w:t>第三轮报价：</w:t>
      </w:r>
      <w:r>
        <w:rPr>
          <w:rFonts w:ascii="仿宋_GB2312" w:eastAsia="仿宋_GB2312"/>
          <w:color w:val="auto"/>
          <w:sz w:val="32"/>
          <w:szCs w:val="32"/>
        </w:rPr>
        <w:t>两轮报价结束后，谈判企业可获知</w:t>
      </w:r>
      <w:r>
        <w:rPr>
          <w:rFonts w:hint="eastAsia" w:ascii="仿宋_GB2312" w:eastAsia="仿宋_GB2312"/>
          <w:color w:val="auto"/>
          <w:sz w:val="32"/>
          <w:szCs w:val="32"/>
        </w:rPr>
        <w:t>自身</w:t>
      </w:r>
      <w:r>
        <w:rPr>
          <w:rFonts w:ascii="仿宋_GB2312" w:eastAsia="仿宋_GB2312"/>
          <w:color w:val="auto"/>
          <w:sz w:val="32"/>
          <w:szCs w:val="32"/>
        </w:rPr>
        <w:t>参与谈判的每一个产品是否已达到目标价，在此基础上，进行第三轮报价（P3）。第三轮报价（P3）须不高于第二轮报价（P2），否则视为无效报价。</w:t>
      </w:r>
    </w:p>
    <w:bookmarkEnd w:id="56"/>
    <w:p>
      <w:pPr>
        <w:spacing w:line="560" w:lineRule="exact"/>
        <w:ind w:left="0" w:firstLine="640" w:firstLineChars="200"/>
        <w:jc w:val="both"/>
        <w:outlineLvl w:val="1"/>
        <w:rPr>
          <w:rFonts w:ascii="黑体" w:hAnsi="黑体" w:eastAsia="黑体" w:cs="黑体"/>
          <w:color w:val="auto"/>
          <w:kern w:val="2"/>
          <w:sz w:val="32"/>
          <w:szCs w:val="32"/>
        </w:rPr>
      </w:pPr>
      <w:bookmarkStart w:id="62" w:name="_Toc2105"/>
      <w:r>
        <w:rPr>
          <w:rFonts w:hint="eastAsia" w:ascii="黑体" w:hAnsi="黑体" w:eastAsia="黑体" w:cs="黑体"/>
          <w:color w:val="auto"/>
          <w:kern w:val="2"/>
          <w:sz w:val="32"/>
          <w:szCs w:val="32"/>
        </w:rPr>
        <w:t>三、报价信息解密</w:t>
      </w:r>
      <w:bookmarkEnd w:id="57"/>
      <w:bookmarkEnd w:id="58"/>
      <w:bookmarkEnd w:id="62"/>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报价信息解密时邀请公证机构和有关部门参加，对全过程进行监督。</w:t>
      </w:r>
    </w:p>
    <w:bookmarkEnd w:id="59"/>
    <w:p>
      <w:pPr>
        <w:spacing w:line="560" w:lineRule="exact"/>
        <w:ind w:left="0" w:firstLine="640" w:firstLineChars="200"/>
        <w:jc w:val="both"/>
        <w:outlineLvl w:val="1"/>
        <w:rPr>
          <w:rFonts w:ascii="黑体" w:hAnsi="黑体" w:eastAsia="黑体" w:cs="黑体"/>
          <w:color w:val="auto"/>
          <w:kern w:val="2"/>
          <w:sz w:val="32"/>
          <w:szCs w:val="32"/>
        </w:rPr>
      </w:pPr>
      <w:bookmarkStart w:id="63" w:name="_Toc3070"/>
      <w:bookmarkStart w:id="64" w:name="_Toc16404"/>
      <w:bookmarkStart w:id="65" w:name="_Toc4676"/>
      <w:bookmarkStart w:id="66" w:name="_Toc4664"/>
      <w:r>
        <w:rPr>
          <w:rFonts w:hint="eastAsia" w:ascii="黑体" w:hAnsi="黑体" w:eastAsia="黑体" w:cs="黑体"/>
          <w:color w:val="auto"/>
          <w:kern w:val="2"/>
          <w:sz w:val="32"/>
          <w:szCs w:val="32"/>
        </w:rPr>
        <w:t>四、拟中选规则</w:t>
      </w:r>
      <w:bookmarkEnd w:id="63"/>
      <w:bookmarkEnd w:id="64"/>
      <w:r>
        <w:rPr>
          <w:rFonts w:hint="eastAsia" w:ascii="黑体" w:hAnsi="黑体" w:eastAsia="黑体" w:cs="黑体"/>
          <w:color w:val="auto"/>
          <w:kern w:val="2"/>
          <w:sz w:val="32"/>
          <w:szCs w:val="32"/>
        </w:rPr>
        <w:t>及备选产品</w:t>
      </w:r>
      <w:bookmarkEnd w:id="65"/>
    </w:p>
    <w:p>
      <w:pPr>
        <w:adjustRightInd w:val="0"/>
        <w:snapToGrid w:val="0"/>
        <w:spacing w:line="560" w:lineRule="exact"/>
        <w:ind w:left="0" w:firstLine="640" w:firstLineChars="200"/>
        <w:jc w:val="both"/>
        <w:rPr>
          <w:rFonts w:ascii="楷体_GB2312" w:hAnsi="楷体_GB2312" w:eastAsia="楷体_GB2312" w:cs="楷体_GB2312"/>
          <w:b/>
          <w:color w:val="auto"/>
          <w:sz w:val="32"/>
          <w:szCs w:val="32"/>
        </w:rPr>
      </w:pPr>
      <w:bookmarkStart w:id="67" w:name="_Toc3734"/>
      <w:bookmarkStart w:id="68" w:name="_Toc3954"/>
      <w:r>
        <w:rPr>
          <w:rFonts w:hint="eastAsia" w:ascii="仿宋_GB2312" w:eastAsia="仿宋_GB2312"/>
          <w:color w:val="auto"/>
          <w:sz w:val="32"/>
          <w:szCs w:val="32"/>
        </w:rPr>
        <w:t>第一轮报价（P</w:t>
      </w:r>
      <w:r>
        <w:rPr>
          <w:rFonts w:hint="eastAsia" w:ascii="仿宋_GB2312" w:hAnsi="方正仿宋简体" w:eastAsia="仿宋_GB2312"/>
          <w:color w:val="auto"/>
          <w:sz w:val="32"/>
          <w:szCs w:val="32"/>
        </w:rPr>
        <w:t>1</w:t>
      </w:r>
      <w:r>
        <w:rPr>
          <w:rFonts w:ascii="仿宋_GB2312" w:eastAsia="仿宋_GB2312"/>
          <w:color w:val="auto"/>
          <w:sz w:val="32"/>
          <w:szCs w:val="32"/>
        </w:rPr>
        <w:t>）、第二轮报价（</w:t>
      </w:r>
      <w:r>
        <w:rPr>
          <w:rFonts w:hint="eastAsia" w:ascii="仿宋_GB2312" w:eastAsia="仿宋_GB2312"/>
          <w:color w:val="auto"/>
          <w:sz w:val="32"/>
          <w:szCs w:val="32"/>
        </w:rPr>
        <w:t>P</w:t>
      </w:r>
      <w:r>
        <w:rPr>
          <w:rFonts w:hint="eastAsia" w:ascii="仿宋_GB2312" w:hAnsi="方正仿宋简体" w:eastAsia="仿宋_GB2312"/>
          <w:color w:val="auto"/>
          <w:sz w:val="32"/>
          <w:szCs w:val="32"/>
        </w:rPr>
        <w:t>2</w:t>
      </w:r>
      <w:r>
        <w:rPr>
          <w:rFonts w:ascii="仿宋_GB2312" w:eastAsia="仿宋_GB2312"/>
          <w:color w:val="auto"/>
          <w:sz w:val="32"/>
          <w:szCs w:val="32"/>
        </w:rPr>
        <w:t>）、第三轮报价（P</w:t>
      </w:r>
      <w:r>
        <w:rPr>
          <w:rFonts w:ascii="仿宋_GB2312" w:hAnsi="方正仿宋简体" w:eastAsia="仿宋_GB2312"/>
          <w:color w:val="auto"/>
          <w:sz w:val="32"/>
          <w:szCs w:val="32"/>
        </w:rPr>
        <w:t>3</w:t>
      </w:r>
      <w:r>
        <w:rPr>
          <w:rFonts w:ascii="仿宋_GB2312" w:eastAsia="仿宋_GB2312"/>
          <w:color w:val="auto"/>
          <w:sz w:val="32"/>
          <w:szCs w:val="32"/>
        </w:rPr>
        <w:t>）均为有效报价，且第三轮报价（P</w:t>
      </w:r>
      <w:r>
        <w:rPr>
          <w:rFonts w:ascii="仿宋_GB2312" w:hAnsi="方正仿宋简体" w:eastAsia="仿宋_GB2312"/>
          <w:color w:val="auto"/>
          <w:sz w:val="32"/>
          <w:szCs w:val="32"/>
        </w:rPr>
        <w:t>3</w:t>
      </w:r>
      <w:r>
        <w:rPr>
          <w:rFonts w:ascii="仿宋_GB2312" w:eastAsia="仿宋_GB2312"/>
          <w:color w:val="auto"/>
          <w:sz w:val="32"/>
          <w:szCs w:val="32"/>
        </w:rPr>
        <w:t>）不高于谈判目标价（P</w:t>
      </w:r>
      <w:r>
        <w:rPr>
          <w:rFonts w:ascii="仿宋_GB2312" w:hAnsi="方正仿宋简体" w:eastAsia="仿宋_GB2312"/>
          <w:color w:val="auto"/>
          <w:sz w:val="32"/>
          <w:szCs w:val="32"/>
        </w:rPr>
        <w:t>a</w:t>
      </w:r>
      <w:r>
        <w:rPr>
          <w:rFonts w:ascii="仿宋_GB2312" w:eastAsia="仿宋_GB2312"/>
          <w:color w:val="auto"/>
          <w:sz w:val="32"/>
          <w:szCs w:val="32"/>
        </w:rPr>
        <w:t>）的产品获得拟中选资格。</w:t>
      </w:r>
    </w:p>
    <w:p>
      <w:pPr>
        <w:spacing w:line="560" w:lineRule="exact"/>
        <w:ind w:left="0" w:firstLine="640" w:firstLineChars="200"/>
        <w:jc w:val="both"/>
        <w:rPr>
          <w:rFonts w:ascii="仿宋_GB2312" w:eastAsia="仿宋_GB2312"/>
          <w:color w:val="auto"/>
          <w:sz w:val="32"/>
          <w:szCs w:val="32"/>
        </w:rPr>
      </w:pPr>
      <w:bookmarkStart w:id="69" w:name="_Toc4131"/>
      <w:r>
        <w:rPr>
          <w:rFonts w:hint="eastAsia" w:ascii="仿宋_GB2312" w:eastAsia="仿宋_GB2312"/>
          <w:color w:val="auto"/>
          <w:sz w:val="32"/>
          <w:szCs w:val="32"/>
        </w:rPr>
        <w:t>第一轮报价（P</w:t>
      </w:r>
      <w:r>
        <w:rPr>
          <w:rFonts w:hint="eastAsia" w:ascii="仿宋_GB2312" w:hAnsi="方正仿宋简体" w:eastAsia="仿宋_GB2312"/>
          <w:color w:val="auto"/>
          <w:sz w:val="32"/>
          <w:szCs w:val="32"/>
        </w:rPr>
        <w:t>1</w:t>
      </w:r>
      <w:r>
        <w:rPr>
          <w:rFonts w:hint="eastAsia" w:ascii="仿宋_GB2312" w:eastAsia="仿宋_GB2312"/>
          <w:color w:val="auto"/>
          <w:sz w:val="32"/>
          <w:szCs w:val="32"/>
        </w:rPr>
        <w:t>）、第二轮报价（P</w:t>
      </w:r>
      <w:r>
        <w:rPr>
          <w:rFonts w:hint="eastAsia" w:ascii="仿宋_GB2312" w:hAnsi="方正仿宋简体" w:eastAsia="仿宋_GB2312"/>
          <w:color w:val="auto"/>
          <w:sz w:val="32"/>
          <w:szCs w:val="32"/>
        </w:rPr>
        <w:t>2</w:t>
      </w:r>
      <w:r>
        <w:rPr>
          <w:rFonts w:hint="eastAsia" w:ascii="仿宋_GB2312" w:eastAsia="仿宋_GB2312"/>
          <w:color w:val="auto"/>
          <w:sz w:val="32"/>
          <w:szCs w:val="32"/>
        </w:rPr>
        <w:t>）、</w:t>
      </w:r>
      <w:r>
        <w:rPr>
          <w:rFonts w:ascii="仿宋_GB2312" w:eastAsia="仿宋_GB2312"/>
          <w:color w:val="auto"/>
          <w:sz w:val="32"/>
          <w:szCs w:val="32"/>
        </w:rPr>
        <w:t>第三轮报价（P</w:t>
      </w:r>
      <w:r>
        <w:rPr>
          <w:rFonts w:ascii="仿宋_GB2312" w:hAnsi="方正仿宋简体" w:eastAsia="仿宋_GB2312"/>
          <w:color w:val="auto"/>
          <w:sz w:val="32"/>
          <w:szCs w:val="32"/>
        </w:rPr>
        <w:t>3</w:t>
      </w:r>
      <w:r>
        <w:rPr>
          <w:rFonts w:ascii="仿宋_GB2312" w:eastAsia="仿宋_GB2312"/>
          <w:color w:val="auto"/>
          <w:sz w:val="32"/>
          <w:szCs w:val="32"/>
        </w:rPr>
        <w:t>）</w:t>
      </w:r>
      <w:r>
        <w:rPr>
          <w:rFonts w:hint="eastAsia" w:ascii="仿宋_GB2312" w:eastAsia="仿宋_GB2312"/>
          <w:color w:val="auto"/>
          <w:sz w:val="32"/>
          <w:szCs w:val="32"/>
        </w:rPr>
        <w:t>均为有效报价的未中选产品，按照第三轮有效报价（P</w:t>
      </w:r>
      <w:r>
        <w:rPr>
          <w:rFonts w:ascii="仿宋_GB2312" w:hAnsi="方正仿宋简体" w:eastAsia="仿宋_GB2312"/>
          <w:color w:val="auto"/>
          <w:sz w:val="32"/>
          <w:szCs w:val="32"/>
        </w:rPr>
        <w:t>3</w:t>
      </w:r>
      <w:r>
        <w:rPr>
          <w:rFonts w:hint="eastAsia" w:ascii="仿宋_GB2312" w:eastAsia="仿宋_GB2312"/>
          <w:color w:val="auto"/>
          <w:sz w:val="32"/>
          <w:szCs w:val="32"/>
        </w:rPr>
        <w:t>）与谈判目标价（P</w:t>
      </w:r>
      <w:r>
        <w:rPr>
          <w:rFonts w:hint="eastAsia" w:ascii="仿宋_GB2312" w:hAnsi="方正仿宋简体" w:eastAsia="仿宋_GB2312"/>
          <w:color w:val="auto"/>
          <w:sz w:val="32"/>
          <w:szCs w:val="32"/>
        </w:rPr>
        <w:t>a</w:t>
      </w:r>
      <w:r>
        <w:rPr>
          <w:rFonts w:hint="eastAsia" w:ascii="仿宋_GB2312" w:eastAsia="仿宋_GB2312"/>
          <w:color w:val="auto"/>
          <w:sz w:val="32"/>
          <w:szCs w:val="32"/>
        </w:rPr>
        <w:t>）差幅由低到高进行排序，全部纳入备选产品范围。</w:t>
      </w:r>
      <w:bookmarkEnd w:id="69"/>
    </w:p>
    <w:p>
      <w:pPr>
        <w:spacing w:line="560" w:lineRule="exact"/>
        <w:ind w:left="0" w:firstLine="640" w:firstLineChars="200"/>
        <w:jc w:val="both"/>
        <w:outlineLvl w:val="1"/>
        <w:rPr>
          <w:rFonts w:ascii="黑体" w:hAnsi="黑体" w:eastAsia="黑体" w:cs="黑体"/>
          <w:color w:val="auto"/>
          <w:kern w:val="2"/>
          <w:sz w:val="32"/>
          <w:szCs w:val="32"/>
        </w:rPr>
      </w:pPr>
      <w:bookmarkStart w:id="70" w:name="_Toc3979"/>
      <w:r>
        <w:rPr>
          <w:rFonts w:hint="eastAsia" w:ascii="黑体" w:hAnsi="黑体" w:eastAsia="黑体" w:cs="黑体"/>
          <w:color w:val="auto"/>
          <w:kern w:val="2"/>
          <w:sz w:val="32"/>
          <w:szCs w:val="32"/>
        </w:rPr>
        <w:t>五、结果公示</w:t>
      </w:r>
      <w:bookmarkEnd w:id="66"/>
      <w:bookmarkEnd w:id="67"/>
      <w:bookmarkEnd w:id="68"/>
      <w:r>
        <w:rPr>
          <w:rFonts w:hint="eastAsia" w:ascii="黑体" w:hAnsi="黑体" w:eastAsia="黑体" w:cs="黑体"/>
          <w:color w:val="auto"/>
          <w:kern w:val="2"/>
          <w:sz w:val="32"/>
          <w:szCs w:val="32"/>
        </w:rPr>
        <w:t>（公告）</w:t>
      </w:r>
      <w:bookmarkEnd w:id="70"/>
    </w:p>
    <w:p>
      <w:pPr>
        <w:adjustRightInd w:val="0"/>
        <w:snapToGrid w:val="0"/>
        <w:spacing w:line="560" w:lineRule="exact"/>
        <w:ind w:left="0" w:firstLine="640" w:firstLineChars="200"/>
        <w:jc w:val="both"/>
        <w:rPr>
          <w:rFonts w:ascii="仿宋_GB2312" w:eastAsia="仿宋_GB2312"/>
          <w:color w:val="auto"/>
          <w:sz w:val="32"/>
          <w:szCs w:val="32"/>
        </w:rPr>
      </w:pPr>
      <w:bookmarkStart w:id="71" w:name="_Hlk103600778"/>
      <w:r>
        <w:rPr>
          <w:rFonts w:hint="eastAsia" w:ascii="仿宋_GB2312" w:eastAsia="仿宋_GB2312" w:cstheme="minorBidi"/>
          <w:color w:val="auto"/>
          <w:kern w:val="2"/>
          <w:sz w:val="32"/>
          <w:szCs w:val="32"/>
        </w:rPr>
        <w:t>（一）拟中选结果公示：价格谈判结束后，拟中选结果在深圳公共资源交易网站公示三个工作日并接受相关申（投）诉。</w:t>
      </w:r>
      <w:r>
        <w:rPr>
          <w:rFonts w:hint="eastAsia" w:ascii="仿宋_GB2312" w:eastAsia="仿宋_GB2312"/>
          <w:color w:val="auto"/>
          <w:sz w:val="32"/>
          <w:szCs w:val="32"/>
        </w:rPr>
        <w:t>备选产品不在拟中选结果中公</w:t>
      </w:r>
      <w:bookmarkStart w:id="72" w:name="_Hlk103340252"/>
      <w:r>
        <w:rPr>
          <w:rFonts w:hint="eastAsia" w:ascii="仿宋_GB2312" w:eastAsia="仿宋_GB2312"/>
          <w:color w:val="auto"/>
          <w:sz w:val="32"/>
          <w:szCs w:val="32"/>
        </w:rPr>
        <w:t>示</w:t>
      </w:r>
      <w:bookmarkEnd w:id="72"/>
      <w:r>
        <w:rPr>
          <w:rFonts w:hint="eastAsia" w:ascii="仿宋_GB2312" w:eastAsia="仿宋_GB2312"/>
          <w:color w:val="auto"/>
          <w:sz w:val="32"/>
          <w:szCs w:val="32"/>
        </w:rPr>
        <w:t>。</w:t>
      </w:r>
    </w:p>
    <w:p>
      <w:pPr>
        <w:adjustRightInd w:val="0"/>
        <w:snapToGrid w:val="0"/>
        <w:spacing w:line="560" w:lineRule="exact"/>
        <w:ind w:left="0" w:firstLine="640" w:firstLineChars="200"/>
        <w:jc w:val="both"/>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二）中选结果公告：拟中选结果公示和申（投）诉处理（如有）完成后，交易中心将通过深圳阳光平台发布中选结果公告，并将中选结果和申（投）诉处理结果（如有）同步报送深圳市医疗保障局和深圳市医疗保险基金管理中心。</w:t>
      </w:r>
    </w:p>
    <w:bookmarkEnd w:id="71"/>
    <w:p>
      <w:pPr>
        <w:spacing w:line="560" w:lineRule="exact"/>
        <w:ind w:left="0" w:firstLine="640" w:firstLineChars="200"/>
        <w:jc w:val="both"/>
        <w:outlineLvl w:val="1"/>
        <w:rPr>
          <w:rFonts w:ascii="黑体" w:hAnsi="黑体" w:eastAsia="黑体" w:cs="黑体"/>
          <w:color w:val="auto"/>
          <w:kern w:val="2"/>
          <w:sz w:val="32"/>
          <w:szCs w:val="32"/>
        </w:rPr>
      </w:pPr>
      <w:bookmarkStart w:id="73" w:name="_Toc26024"/>
      <w:bookmarkStart w:id="74" w:name="_Toc20355"/>
      <w:bookmarkStart w:id="75" w:name="_Toc3889"/>
      <w:r>
        <w:rPr>
          <w:rFonts w:hint="eastAsia" w:ascii="黑体" w:hAnsi="黑体" w:eastAsia="黑体" w:cs="黑体"/>
          <w:color w:val="auto"/>
          <w:kern w:val="2"/>
          <w:sz w:val="32"/>
          <w:szCs w:val="32"/>
        </w:rPr>
        <w:t>六、申（投）诉处理</w:t>
      </w:r>
      <w:bookmarkEnd w:id="73"/>
      <w:bookmarkEnd w:id="74"/>
      <w:bookmarkEnd w:id="75"/>
    </w:p>
    <w:p>
      <w:pPr>
        <w:adjustRightInd w:val="0"/>
        <w:snapToGrid w:val="0"/>
        <w:spacing w:line="560" w:lineRule="exact"/>
        <w:ind w:left="0" w:firstLine="640" w:firstLineChars="200"/>
        <w:jc w:val="both"/>
        <w:rPr>
          <w:rFonts w:ascii="仿宋_GB2312" w:eastAsia="仿宋_GB2312" w:cstheme="minorBidi"/>
          <w:color w:val="auto"/>
          <w:kern w:val="2"/>
          <w:sz w:val="32"/>
          <w:szCs w:val="32"/>
        </w:rPr>
      </w:pPr>
      <w:bookmarkStart w:id="76" w:name="_Hlk103600844"/>
      <w:r>
        <w:rPr>
          <w:rFonts w:hint="eastAsia" w:ascii="仿宋_GB2312" w:eastAsia="仿宋_GB2312" w:cstheme="minorBidi"/>
          <w:color w:val="auto"/>
          <w:kern w:val="2"/>
          <w:sz w:val="32"/>
          <w:szCs w:val="32"/>
        </w:rPr>
        <w:t>（一）经公开的</w:t>
      </w:r>
      <w:r>
        <w:rPr>
          <w:rFonts w:hint="eastAsia" w:ascii="仿宋_GB2312" w:eastAsia="仿宋_GB2312"/>
          <w:color w:val="auto"/>
          <w:sz w:val="32"/>
          <w:szCs w:val="32"/>
        </w:rPr>
        <w:t>产品分类、各产品的谈判基准价，以及</w:t>
      </w:r>
      <w:r>
        <w:rPr>
          <w:rFonts w:hint="eastAsia" w:ascii="仿宋_GB2312" w:eastAsia="仿宋_GB2312" w:cstheme="minorBidi"/>
          <w:color w:val="auto"/>
          <w:kern w:val="2"/>
          <w:sz w:val="32"/>
          <w:szCs w:val="32"/>
        </w:rPr>
        <w:t>拟中选结果公示，均接受申（投）诉</w:t>
      </w:r>
      <w:r>
        <w:rPr>
          <w:rFonts w:hint="eastAsia" w:ascii="仿宋_GB2312" w:eastAsia="仿宋_GB2312"/>
          <w:color w:val="auto"/>
          <w:sz w:val="32"/>
          <w:szCs w:val="32"/>
        </w:rPr>
        <w:t>；相关企业如有异议，可向交易中心递交申（投）诉申请。</w:t>
      </w:r>
    </w:p>
    <w:p>
      <w:pPr>
        <w:adjustRightInd w:val="0"/>
        <w:snapToGrid w:val="0"/>
        <w:spacing w:line="560" w:lineRule="exact"/>
        <w:ind w:left="0" w:firstLine="640" w:firstLineChars="200"/>
        <w:jc w:val="both"/>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（二）</w:t>
      </w:r>
      <w:r>
        <w:rPr>
          <w:rFonts w:hint="eastAsia" w:ascii="仿宋_GB2312" w:eastAsia="仿宋_GB2312"/>
          <w:color w:val="auto"/>
          <w:sz w:val="32"/>
          <w:szCs w:val="32"/>
        </w:rPr>
        <w:t>申（投）诉方必须提供</w:t>
      </w:r>
      <w:r>
        <w:rPr>
          <w:rFonts w:ascii="仿宋_GB2312" w:eastAsia="仿宋_GB2312" w:cs="仿宋_GB2312"/>
          <w:color w:val="auto"/>
          <w:sz w:val="32"/>
          <w:szCs w:val="32"/>
          <w:shd w:val="clear" w:color="auto" w:fill="FFFFFF"/>
        </w:rPr>
        <w:t>真实</w:t>
      </w:r>
      <w:r>
        <w:rPr>
          <w:rFonts w:hint="eastAsia" w:ascii="仿宋_GB2312" w:eastAsia="仿宋_GB2312" w:cs="仿宋_GB2312"/>
          <w:color w:val="auto"/>
          <w:sz w:val="32"/>
          <w:szCs w:val="32"/>
          <w:shd w:val="clear" w:color="auto" w:fill="FFFFFF"/>
        </w:rPr>
        <w:t>有效、清晰完整、有针对性且无歧义的证明材料</w:t>
      </w:r>
      <w:r>
        <w:rPr>
          <w:rFonts w:hint="eastAsia" w:ascii="仿宋_GB2312" w:eastAsia="仿宋_GB2312"/>
          <w:color w:val="auto"/>
          <w:sz w:val="32"/>
          <w:szCs w:val="32"/>
        </w:rPr>
        <w:t>。若存在提供虚假材料或者有其他弄虚作假行为，</w:t>
      </w:r>
      <w:r>
        <w:rPr>
          <w:rFonts w:hint="eastAsia" w:ascii="仿宋_GB2312" w:eastAsia="仿宋_GB2312" w:cstheme="minorBidi"/>
          <w:color w:val="auto"/>
          <w:kern w:val="2"/>
          <w:sz w:val="32"/>
          <w:szCs w:val="32"/>
        </w:rPr>
        <w:t>交易中心</w:t>
      </w:r>
      <w:r>
        <w:rPr>
          <w:rFonts w:hint="eastAsia" w:ascii="仿宋_GB2312" w:eastAsia="仿宋_GB2312"/>
          <w:color w:val="auto"/>
          <w:sz w:val="32"/>
          <w:szCs w:val="32"/>
        </w:rPr>
        <w:t>将移交至相关部门依法依规处理。</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hint="eastAsia" w:ascii="仿宋_GB2312" w:eastAsia="仿宋_GB2312" w:cstheme="minorBidi"/>
          <w:color w:val="auto"/>
          <w:kern w:val="2"/>
          <w:sz w:val="32"/>
          <w:szCs w:val="32"/>
        </w:rPr>
        <w:t>（三）交易中心负责申（投）诉处理，并及时进行回复。</w:t>
      </w:r>
      <w:bookmarkStart w:id="77" w:name="_Hlk102566847"/>
      <w:r>
        <w:rPr>
          <w:rFonts w:hint="eastAsia" w:ascii="仿宋_GB2312" w:eastAsia="仿宋_GB2312"/>
          <w:color w:val="auto"/>
          <w:sz w:val="32"/>
          <w:szCs w:val="32"/>
        </w:rPr>
        <w:t>市</w:t>
      </w:r>
      <w:r>
        <w:rPr>
          <w:rFonts w:hint="eastAsia" w:ascii="仿宋_GB2312" w:hAnsi="仿宋_GB2312" w:eastAsia="仿宋_GB2312" w:cs="仿宋_GB2312"/>
          <w:color w:val="auto"/>
          <w:sz w:val="32"/>
          <w:szCs w:val="32"/>
        </w:rPr>
        <w:t>医疗保障部门负责处理对交易中心处理不满意的相关投诉。</w:t>
      </w:r>
      <w:bookmarkEnd w:id="77"/>
    </w:p>
    <w:p>
      <w:pPr>
        <w:adjustRightInd w:val="0"/>
        <w:snapToGrid w:val="0"/>
        <w:spacing w:line="560" w:lineRule="exact"/>
        <w:ind w:left="0" w:firstLine="640" w:firstLineChars="200"/>
        <w:jc w:val="both"/>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（四）</w:t>
      </w:r>
      <w:bookmarkStart w:id="78" w:name="_Hlk102566754"/>
      <w:r>
        <w:rPr>
          <w:rFonts w:hint="eastAsia" w:ascii="仿宋_GB2312" w:eastAsia="仿宋_GB2312" w:cstheme="minorBidi"/>
          <w:color w:val="auto"/>
          <w:kern w:val="2"/>
          <w:sz w:val="32"/>
          <w:szCs w:val="32"/>
        </w:rPr>
        <w:t>申（投）诉处理结果同步报送</w:t>
      </w:r>
      <w:r>
        <w:rPr>
          <w:rFonts w:hint="eastAsia" w:ascii="仿宋_GB2312" w:hAnsi="仿宋_GB2312" w:eastAsia="仿宋_GB2312" w:cs="仿宋_GB2312"/>
          <w:color w:val="auto"/>
          <w:sz w:val="32"/>
          <w:szCs w:val="32"/>
        </w:rPr>
        <w:t>深圳市医疗保障局和深圳市医疗保险基金管理中心</w:t>
      </w:r>
      <w:r>
        <w:rPr>
          <w:rFonts w:hint="eastAsia" w:ascii="仿宋_GB2312" w:eastAsia="仿宋_GB2312" w:cstheme="minorBidi"/>
          <w:color w:val="auto"/>
          <w:kern w:val="2"/>
          <w:sz w:val="32"/>
          <w:szCs w:val="32"/>
        </w:rPr>
        <w:t>。</w:t>
      </w:r>
      <w:bookmarkEnd w:id="76"/>
    </w:p>
    <w:bookmarkEnd w:id="78"/>
    <w:p>
      <w:pPr>
        <w:spacing w:line="560" w:lineRule="exact"/>
        <w:ind w:left="0" w:firstLine="640" w:firstLineChars="200"/>
        <w:jc w:val="both"/>
        <w:outlineLvl w:val="1"/>
        <w:rPr>
          <w:rFonts w:ascii="黑体" w:hAnsi="黑体" w:eastAsia="黑体" w:cs="黑体"/>
          <w:color w:val="auto"/>
          <w:kern w:val="2"/>
          <w:sz w:val="32"/>
          <w:szCs w:val="32"/>
        </w:rPr>
      </w:pPr>
      <w:bookmarkStart w:id="79" w:name="_Toc26261"/>
      <w:bookmarkStart w:id="80" w:name="_Toc3344"/>
      <w:bookmarkStart w:id="81" w:name="_Toc28741"/>
      <w:bookmarkStart w:id="82" w:name="_Toc3259"/>
      <w:r>
        <w:rPr>
          <w:rFonts w:hint="eastAsia" w:ascii="黑体" w:hAnsi="黑体" w:eastAsia="黑体" w:cs="黑体"/>
          <w:color w:val="auto"/>
          <w:kern w:val="2"/>
          <w:sz w:val="32"/>
          <w:szCs w:val="32"/>
        </w:rPr>
        <w:t>七、</w:t>
      </w:r>
      <w:bookmarkEnd w:id="79"/>
      <w:bookmarkEnd w:id="80"/>
      <w:bookmarkEnd w:id="81"/>
      <w:r>
        <w:rPr>
          <w:rFonts w:hint="eastAsia" w:ascii="黑体" w:hAnsi="黑体" w:eastAsia="黑体" w:cs="黑体"/>
          <w:color w:val="auto"/>
          <w:kern w:val="2"/>
          <w:sz w:val="32"/>
          <w:szCs w:val="32"/>
        </w:rPr>
        <w:t>采购执行说明</w:t>
      </w:r>
      <w:bookmarkEnd w:id="82"/>
    </w:p>
    <w:p>
      <w:pPr>
        <w:adjustRightInd w:val="0"/>
        <w:snapToGrid w:val="0"/>
        <w:spacing w:line="560" w:lineRule="exact"/>
        <w:ind w:left="0" w:firstLine="640" w:firstLineChars="200"/>
        <w:jc w:val="both"/>
        <w:rPr>
          <w:rFonts w:ascii="仿宋_GB2312" w:eastAsia="仿宋_GB2312" w:hAnsiTheme="minorHAnsi" w:cstheme="minorBidi"/>
          <w:color w:val="auto"/>
          <w:kern w:val="2"/>
          <w:sz w:val="32"/>
          <w:szCs w:val="32"/>
        </w:rPr>
      </w:pPr>
      <w:bookmarkStart w:id="83" w:name="_Toc28901"/>
      <w:r>
        <w:rPr>
          <w:rFonts w:hint="eastAsia" w:ascii="仿宋_GB2312" w:eastAsia="仿宋_GB2312" w:cstheme="minorBidi"/>
          <w:color w:val="auto"/>
          <w:kern w:val="2"/>
          <w:sz w:val="32"/>
          <w:szCs w:val="32"/>
        </w:rPr>
        <w:t>（一）谈判结果执行周期内，各医疗机构优先采购价格优势专区内的产品。</w:t>
      </w:r>
      <w:r>
        <w:rPr>
          <w:rFonts w:hint="eastAsia" w:ascii="仿宋_GB2312" w:hAnsi="仿宋_GB2312" w:eastAsia="仿宋_GB2312" w:cs="仿宋_GB2312"/>
          <w:color w:val="auto"/>
          <w:sz w:val="32"/>
          <w:szCs w:val="32"/>
        </w:rPr>
        <w:t>交易中心</w:t>
      </w:r>
      <w:r>
        <w:rPr>
          <w:rFonts w:hint="eastAsia" w:ascii="仿宋_GB2312" w:eastAsia="仿宋_GB2312" w:hAnsiTheme="minorHAnsi" w:cstheme="minorBidi"/>
          <w:color w:val="auto"/>
          <w:kern w:val="2"/>
          <w:sz w:val="32"/>
          <w:szCs w:val="32"/>
        </w:rPr>
        <w:t>重点监测各医疗机构采购价格优势专区内产品情况并定期报告。</w:t>
      </w:r>
    </w:p>
    <w:p>
      <w:pPr>
        <w:adjustRightInd w:val="0"/>
        <w:snapToGrid w:val="0"/>
        <w:spacing w:line="560" w:lineRule="exact"/>
        <w:ind w:left="0" w:firstLine="640" w:firstLineChars="200"/>
        <w:jc w:val="both"/>
        <w:rPr>
          <w:rFonts w:ascii="仿宋_GB2312" w:eastAsia="仿宋_GB2312"/>
          <w:color w:val="auto"/>
          <w:sz w:val="32"/>
          <w:szCs w:val="32"/>
        </w:rPr>
      </w:pPr>
      <w:r>
        <w:rPr>
          <w:rFonts w:hint="eastAsia" w:ascii="仿宋_GB2312" w:eastAsia="仿宋_GB2312"/>
          <w:color w:val="auto"/>
          <w:sz w:val="32"/>
          <w:szCs w:val="32"/>
        </w:rPr>
        <w:t>谈判结果执行周期结束后，中选企业仍愿按不高于中选价格继续供应的，相关产品自动留在价格优势专区；企业不愿按不高于中选价格继续供应的，应在执行周期期满前一个月，就本企业专区产品向交易中心主动申请退出价格优势专区，中选企业未主动申请退出价格优势专区的，视为中选企业自愿将相关产品留在价格优势专区并按不高于中选价格进行供应。若专区产品联动后的价格低于中选价格的，按联动后的价格进行供应。</w:t>
      </w:r>
    </w:p>
    <w:p>
      <w:pPr>
        <w:adjustRightInd w:val="0"/>
        <w:snapToGrid w:val="0"/>
        <w:spacing w:line="560" w:lineRule="exact"/>
        <w:ind w:left="0" w:firstLine="640" w:firstLineChars="200"/>
        <w:jc w:val="both"/>
        <w:rPr>
          <w:rFonts w:ascii="仿宋_GB2312" w:hAnsi="Calibri" w:eastAsia="仿宋_GB2312"/>
          <w:color w:val="auto"/>
          <w:sz w:val="32"/>
          <w:szCs w:val="32"/>
        </w:rPr>
      </w:pPr>
      <w:r>
        <w:rPr>
          <w:rFonts w:hint="eastAsia" w:ascii="仿宋_GB2312" w:eastAsia="仿宋_GB2312"/>
          <w:color w:val="auto"/>
          <w:sz w:val="32"/>
          <w:szCs w:val="32"/>
        </w:rPr>
        <w:t>谈判结果执行周期结束后，交易中心可以根据工作需要，在征得</w:t>
      </w:r>
      <w:r>
        <w:rPr>
          <w:rFonts w:hint="eastAsia" w:ascii="仿宋_GB2312" w:eastAsia="仿宋_GB2312" w:cstheme="minorBidi"/>
          <w:color w:val="auto"/>
          <w:kern w:val="2"/>
          <w:sz w:val="32"/>
          <w:szCs w:val="32"/>
        </w:rPr>
        <w:t>市医疗保障部门</w:t>
      </w:r>
      <w:r>
        <w:rPr>
          <w:rFonts w:hint="eastAsia" w:ascii="仿宋_GB2312" w:eastAsia="仿宋_GB2312"/>
          <w:color w:val="auto"/>
          <w:sz w:val="32"/>
          <w:szCs w:val="32"/>
        </w:rPr>
        <w:t>同意后将相关产品移出价格优势专区。</w:t>
      </w:r>
    </w:p>
    <w:p>
      <w:pPr>
        <w:adjustRightInd w:val="0"/>
        <w:snapToGrid w:val="0"/>
        <w:spacing w:line="560" w:lineRule="exact"/>
        <w:ind w:left="0" w:firstLine="640" w:firstLineChars="200"/>
        <w:jc w:val="both"/>
        <w:rPr>
          <w:rFonts w:ascii="仿宋_GB2312" w:eastAsia="仿宋_GB2312"/>
          <w:color w:val="auto"/>
          <w:sz w:val="32"/>
          <w:szCs w:val="32"/>
        </w:rPr>
      </w:pPr>
      <w:r>
        <w:rPr>
          <w:rFonts w:hint="eastAsia" w:ascii="仿宋_GB2312" w:eastAsia="仿宋_GB2312"/>
          <w:color w:val="auto"/>
          <w:sz w:val="32"/>
          <w:szCs w:val="32"/>
        </w:rPr>
        <w:t>（二）对于价格优势专区产品，医疗机构直接下订单采购，无需再进行议价，交易各方签订线上采</w:t>
      </w:r>
      <w:r>
        <w:rPr>
          <w:rFonts w:hint="eastAsia" w:ascii="仿宋_GB2312" w:eastAsia="仿宋_GB2312" w:cstheme="minorBidi"/>
          <w:color w:val="auto"/>
          <w:kern w:val="2"/>
          <w:sz w:val="32"/>
          <w:szCs w:val="32"/>
        </w:rPr>
        <w:t>购合同并执</w:t>
      </w:r>
      <w:r>
        <w:rPr>
          <w:rFonts w:hint="eastAsia" w:ascii="仿宋_GB2312" w:eastAsia="仿宋_GB2312"/>
          <w:color w:val="auto"/>
          <w:sz w:val="32"/>
          <w:szCs w:val="32"/>
        </w:rPr>
        <w:t>行。</w:t>
      </w:r>
    </w:p>
    <w:p>
      <w:pPr>
        <w:adjustRightInd w:val="0"/>
        <w:snapToGrid w:val="0"/>
        <w:spacing w:line="560" w:lineRule="exact"/>
        <w:ind w:left="0" w:firstLine="640" w:firstLineChars="200"/>
        <w:jc w:val="both"/>
        <w:rPr>
          <w:rFonts w:ascii="仿宋_GB2312" w:hAnsi="inherit" w:eastAsia="仿宋_GB2312" w:cs="宋体"/>
          <w:color w:val="auto"/>
          <w:sz w:val="32"/>
          <w:szCs w:val="32"/>
        </w:rPr>
      </w:pPr>
      <w:r>
        <w:rPr>
          <w:rFonts w:hint="eastAsia" w:ascii="仿宋_GB2312" w:eastAsia="仿宋_GB2312"/>
          <w:color w:val="auto"/>
          <w:sz w:val="32"/>
          <w:szCs w:val="32"/>
        </w:rPr>
        <w:t>（三）采购合同签订后，采购主体与中</w:t>
      </w:r>
      <w:r>
        <w:rPr>
          <w:rFonts w:hint="eastAsia" w:ascii="仿宋_GB2312" w:hAnsi="inherit" w:eastAsia="仿宋_GB2312" w:cs="宋体"/>
          <w:color w:val="auto"/>
          <w:sz w:val="32"/>
          <w:szCs w:val="32"/>
        </w:rPr>
        <w:t>选企业不得再订立背离采购合同实质性内容的其他协议或提出除采购合同之外的任何利益性要求。</w:t>
      </w:r>
    </w:p>
    <w:p>
      <w:pPr>
        <w:adjustRightInd w:val="0"/>
        <w:snapToGrid w:val="0"/>
        <w:spacing w:line="560" w:lineRule="exact"/>
        <w:ind w:left="0" w:firstLine="640" w:firstLineChars="200"/>
        <w:jc w:val="both"/>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（四）对于医疗机构在采的专区医用耗材产品，年度采购量原则上不得低于上年度采购量。</w:t>
      </w:r>
    </w:p>
    <w:p>
      <w:pPr>
        <w:adjustRightInd w:val="0"/>
        <w:snapToGrid w:val="0"/>
        <w:spacing w:line="560" w:lineRule="exact"/>
        <w:ind w:left="0" w:firstLine="640" w:firstLineChars="200"/>
        <w:jc w:val="both"/>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（五）</w:t>
      </w:r>
      <w:bookmarkStart w:id="84" w:name="_Hlk102319734"/>
      <w:r>
        <w:rPr>
          <w:rFonts w:hint="eastAsia" w:ascii="仿宋_GB2312" w:eastAsia="仿宋_GB2312" w:cstheme="minorBidi"/>
          <w:color w:val="auto"/>
          <w:kern w:val="2"/>
          <w:sz w:val="32"/>
          <w:szCs w:val="32"/>
        </w:rPr>
        <w:t>中选企业不得增加或删减中选产品的规格型号，且</w:t>
      </w:r>
      <w:bookmarkStart w:id="85" w:name="_Hlk103595537"/>
      <w:r>
        <w:rPr>
          <w:rFonts w:hint="eastAsia" w:ascii="仿宋_GB2312" w:eastAsia="仿宋_GB2312" w:cstheme="minorBidi"/>
          <w:color w:val="auto"/>
          <w:kern w:val="2"/>
          <w:sz w:val="32"/>
          <w:szCs w:val="32"/>
        </w:rPr>
        <w:t>应当保证产品中选前后质量和配置的一致性。</w:t>
      </w:r>
      <w:bookmarkEnd w:id="84"/>
      <w:bookmarkEnd w:id="85"/>
    </w:p>
    <w:p>
      <w:pPr>
        <w:spacing w:line="560" w:lineRule="exact"/>
        <w:ind w:firstLine="645"/>
        <w:jc w:val="both"/>
        <w:outlineLvl w:val="1"/>
        <w:rPr>
          <w:rFonts w:ascii="黑体" w:hAnsi="黑体" w:eastAsia="黑体" w:cs="黑体"/>
          <w:color w:val="auto"/>
          <w:kern w:val="2"/>
          <w:sz w:val="32"/>
          <w:szCs w:val="32"/>
        </w:rPr>
      </w:pPr>
      <w:bookmarkStart w:id="86" w:name="_Toc13785"/>
      <w:bookmarkStart w:id="87" w:name="_Hlk102319531"/>
      <w:r>
        <w:rPr>
          <w:rFonts w:hint="eastAsia" w:ascii="黑体" w:hAnsi="黑体" w:eastAsia="黑体" w:cs="黑体"/>
          <w:color w:val="auto"/>
          <w:kern w:val="2"/>
          <w:sz w:val="32"/>
          <w:szCs w:val="32"/>
        </w:rPr>
        <w:t>八、动态调整机制</w:t>
      </w:r>
      <w:bookmarkEnd w:id="86"/>
    </w:p>
    <w:p>
      <w:pPr>
        <w:adjustRightInd w:val="0"/>
        <w:snapToGrid w:val="0"/>
        <w:spacing w:line="560" w:lineRule="exact"/>
        <w:ind w:left="0" w:firstLine="640" w:firstLineChars="200"/>
        <w:jc w:val="both"/>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（一）交易中心已经在谈判公告中明确将</w:t>
      </w:r>
      <w:r>
        <w:rPr>
          <w:rFonts w:hint="eastAsia" w:ascii="仿宋_GB2312" w:eastAsia="仿宋_GB2312" w:cstheme="minorBidi"/>
          <w:color w:val="auto"/>
          <w:kern w:val="2"/>
          <w:sz w:val="32"/>
          <w:szCs w:val="32"/>
          <w:lang w:eastAsia="zh-CN"/>
        </w:rPr>
        <w:t>2022年3月1日至2023年2月28日</w:t>
      </w:r>
      <w:r>
        <w:rPr>
          <w:rFonts w:hint="eastAsia" w:ascii="仿宋_GB2312" w:eastAsia="仿宋_GB2312" w:cstheme="minorBidi"/>
          <w:color w:val="auto"/>
          <w:kern w:val="2"/>
          <w:sz w:val="32"/>
          <w:szCs w:val="32"/>
        </w:rPr>
        <w:t>期间在深圳公立医疗机构有采购记录的</w:t>
      </w:r>
      <w:r>
        <w:rPr>
          <w:rFonts w:hint="eastAsia" w:ascii="仿宋_GB2312" w:eastAsia="仿宋_GB2312" w:cstheme="minorBidi"/>
          <w:color w:val="auto"/>
          <w:kern w:val="2"/>
          <w:sz w:val="32"/>
          <w:szCs w:val="32"/>
          <w:lang w:eastAsia="zh-CN"/>
        </w:rPr>
        <w:t>泌尿介入导丝等五类医用耗材</w:t>
      </w:r>
      <w:r>
        <w:rPr>
          <w:rFonts w:hint="eastAsia" w:ascii="仿宋_GB2312" w:eastAsia="仿宋_GB2312" w:cstheme="minorBidi"/>
          <w:color w:val="auto"/>
          <w:kern w:val="2"/>
          <w:sz w:val="32"/>
          <w:szCs w:val="32"/>
        </w:rPr>
        <w:t>产品纳入本次价格谈判</w:t>
      </w:r>
      <w:r>
        <w:rPr>
          <w:rFonts w:hint="eastAsia" w:ascii="仿宋_GB2312" w:eastAsia="仿宋_GB2312" w:cstheme="minorBidi"/>
          <w:color w:val="auto"/>
          <w:kern w:val="2"/>
          <w:sz w:val="32"/>
          <w:szCs w:val="32"/>
          <w:lang w:val="en-US" w:eastAsia="zh-CN"/>
        </w:rPr>
        <w:t>公告通知</w:t>
      </w:r>
      <w:r>
        <w:rPr>
          <w:rFonts w:hint="eastAsia" w:ascii="仿宋_GB2312" w:eastAsia="仿宋_GB2312" w:cstheme="minorBidi"/>
          <w:color w:val="auto"/>
          <w:kern w:val="2"/>
          <w:sz w:val="32"/>
          <w:szCs w:val="32"/>
        </w:rPr>
        <w:t>范围，</w:t>
      </w:r>
      <w:r>
        <w:rPr>
          <w:rFonts w:hint="eastAsia" w:ascii="仿宋_GB2312" w:hAnsi="仿宋_GB2312" w:eastAsia="仿宋_GB2312" w:cs="仿宋_GB2312"/>
          <w:color w:val="auto"/>
          <w:sz w:val="32"/>
          <w:szCs w:val="32"/>
        </w:rPr>
        <w:t>未纳入</w:t>
      </w:r>
      <w:r>
        <w:rPr>
          <w:rFonts w:hint="eastAsia" w:ascii="仿宋_GB2312" w:eastAsia="仿宋_GB2312" w:cstheme="minorBidi"/>
          <w:color w:val="auto"/>
          <w:kern w:val="2"/>
          <w:sz w:val="32"/>
          <w:szCs w:val="32"/>
          <w:lang w:val="en-US" w:eastAsia="zh-CN"/>
        </w:rPr>
        <w:t>公告通知</w:t>
      </w:r>
      <w:r>
        <w:rPr>
          <w:rFonts w:hint="eastAsia" w:ascii="仿宋_GB2312" w:hAnsi="仿宋_GB2312" w:eastAsia="仿宋_GB2312" w:cs="仿宋_GB2312"/>
          <w:color w:val="auto"/>
          <w:sz w:val="32"/>
          <w:szCs w:val="32"/>
        </w:rPr>
        <w:t>范围但在本次谈判品种范围内的产品亦可参与。</w:t>
      </w:r>
      <w:r>
        <w:rPr>
          <w:rFonts w:hint="eastAsia" w:ascii="仿宋_GB2312" w:eastAsia="仿宋_GB2312" w:cstheme="minorBidi"/>
          <w:color w:val="auto"/>
          <w:kern w:val="2"/>
          <w:sz w:val="32"/>
          <w:szCs w:val="32"/>
        </w:rPr>
        <w:t>中选结果执行后，交易中心可以在深圳阳光平台对未中选产品和</w:t>
      </w:r>
      <w:r>
        <w:rPr>
          <w:rFonts w:hint="eastAsia" w:ascii="仿宋_GB2312" w:eastAsia="仿宋_GB2312" w:cstheme="minorBidi"/>
          <w:color w:val="auto"/>
          <w:kern w:val="2"/>
          <w:sz w:val="32"/>
          <w:szCs w:val="32"/>
          <w:lang w:val="en-US" w:eastAsia="zh-CN"/>
        </w:rPr>
        <w:t>公告通知</w:t>
      </w:r>
      <w:r>
        <w:rPr>
          <w:rFonts w:hint="eastAsia" w:ascii="仿宋_GB2312" w:eastAsia="仿宋_GB2312" w:cstheme="minorBidi"/>
          <w:color w:val="auto"/>
          <w:kern w:val="2"/>
          <w:sz w:val="32"/>
          <w:szCs w:val="32"/>
        </w:rPr>
        <w:t>名单内的未报名产品进行专门标识，这些产品不纳入价格优势专区，但仍可进行挂网议价采购。</w:t>
      </w:r>
    </w:p>
    <w:p>
      <w:pPr>
        <w:adjustRightInd w:val="0"/>
        <w:snapToGrid w:val="0"/>
        <w:spacing w:line="560" w:lineRule="exact"/>
        <w:ind w:left="0" w:firstLine="640" w:firstLineChars="200"/>
        <w:jc w:val="both"/>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二）交易中心将常态化开展医用耗材最低价格跟踪确定。价格优势专区的产品依照平台规则确定的平台参考限价低于中选价格时，或者在深圳阳光平台出现新的最低实际成交价格时，或者医疗机构自行组织、联合组织的医用耗材采购中标价格低于专区价格时，交易中心审核确认后将进行产品价格联动。</w:t>
      </w:r>
    </w:p>
    <w:p>
      <w:pPr>
        <w:adjustRightInd w:val="0"/>
        <w:snapToGrid w:val="0"/>
        <w:spacing w:line="560" w:lineRule="exact"/>
        <w:ind w:left="0" w:firstLine="640" w:firstLineChars="200"/>
        <w:jc w:val="both"/>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（三）</w:t>
      </w:r>
      <w:r>
        <w:rPr>
          <w:rFonts w:hint="eastAsia" w:ascii="仿宋_GB2312" w:eastAsia="仿宋_GB2312"/>
          <w:color w:val="auto"/>
          <w:sz w:val="32"/>
          <w:szCs w:val="32"/>
        </w:rPr>
        <w:t>中选产品出现下列第一种情形的，交易中心可以撤销其价格优势专区挂网资格；出现下列第二、三、四种情形的，除可以撤销其价格优势专区挂网资格外，交易中心还可以同步取消深圳阳光平台一年内的挂网（议价）采购资格：</w:t>
      </w:r>
    </w:p>
    <w:p>
      <w:pPr>
        <w:spacing w:line="560" w:lineRule="exact"/>
        <w:ind w:leftChars="150" w:firstLine="278" w:firstLineChars="87"/>
        <w:jc w:val="both"/>
        <w:rPr>
          <w:rFonts w:ascii="仿宋_GB2312" w:eastAsia="仿宋_GB2312"/>
          <w:color w:val="auto"/>
          <w:sz w:val="32"/>
          <w:szCs w:val="32"/>
        </w:rPr>
      </w:pPr>
      <w:r>
        <w:rPr>
          <w:rFonts w:hint="eastAsia" w:ascii="仿宋_GB2312" w:eastAsia="仿宋_GB2312"/>
          <w:color w:val="auto"/>
          <w:sz w:val="32"/>
          <w:szCs w:val="32"/>
        </w:rPr>
        <w:t>（1）</w:t>
      </w:r>
      <w:r>
        <w:rPr>
          <w:rFonts w:ascii="仿宋_GB2312" w:eastAsia="仿宋_GB2312"/>
          <w:color w:val="auto"/>
          <w:sz w:val="32"/>
          <w:szCs w:val="32"/>
        </w:rPr>
        <w:t>自中选结果执行之日起半年内无采购记录；</w:t>
      </w:r>
    </w:p>
    <w:p>
      <w:pPr>
        <w:spacing w:line="560" w:lineRule="exact"/>
        <w:ind w:leftChars="150" w:firstLine="278" w:firstLineChars="87"/>
        <w:jc w:val="both"/>
        <w:rPr>
          <w:rFonts w:ascii="仿宋_GB2312" w:eastAsia="仿宋_GB2312"/>
          <w:color w:val="auto"/>
          <w:sz w:val="32"/>
          <w:szCs w:val="32"/>
        </w:rPr>
      </w:pPr>
      <w:r>
        <w:rPr>
          <w:rFonts w:hint="eastAsia" w:ascii="仿宋_GB2312" w:eastAsia="仿宋_GB2312"/>
          <w:color w:val="auto"/>
          <w:sz w:val="32"/>
          <w:szCs w:val="32"/>
        </w:rPr>
        <w:t>（2）</w:t>
      </w:r>
      <w:r>
        <w:rPr>
          <w:rFonts w:ascii="仿宋_GB2312" w:eastAsia="仿宋_GB2312"/>
          <w:color w:val="auto"/>
          <w:sz w:val="32"/>
          <w:szCs w:val="32"/>
        </w:rPr>
        <w:t>在执行周期内出现质量</w:t>
      </w:r>
      <w:r>
        <w:rPr>
          <w:rFonts w:hint="eastAsia" w:ascii="仿宋_GB2312" w:eastAsia="仿宋_GB2312"/>
          <w:color w:val="auto"/>
          <w:sz w:val="32"/>
          <w:szCs w:val="32"/>
        </w:rPr>
        <w:t>问题或者</w:t>
      </w:r>
      <w:r>
        <w:rPr>
          <w:rFonts w:ascii="仿宋_GB2312" w:eastAsia="仿宋_GB2312"/>
          <w:color w:val="auto"/>
          <w:sz w:val="32"/>
          <w:szCs w:val="32"/>
        </w:rPr>
        <w:t>供应问题；</w:t>
      </w:r>
    </w:p>
    <w:p>
      <w:pPr>
        <w:spacing w:line="560" w:lineRule="exact"/>
        <w:ind w:leftChars="150" w:firstLine="278" w:firstLineChars="87"/>
        <w:jc w:val="both"/>
        <w:rPr>
          <w:rFonts w:ascii="仿宋_GB2312" w:eastAsia="仿宋_GB2312"/>
          <w:color w:val="auto"/>
          <w:sz w:val="32"/>
          <w:szCs w:val="32"/>
        </w:rPr>
      </w:pPr>
      <w:r>
        <w:rPr>
          <w:rFonts w:hint="eastAsia" w:ascii="仿宋_GB2312" w:eastAsia="仿宋_GB2312"/>
          <w:color w:val="auto"/>
          <w:sz w:val="32"/>
          <w:szCs w:val="32"/>
        </w:rPr>
        <w:t>（3）拒绝接受价格联动；</w:t>
      </w:r>
    </w:p>
    <w:p>
      <w:pPr>
        <w:spacing w:line="560" w:lineRule="exact"/>
        <w:ind w:leftChars="150" w:firstLine="278" w:firstLineChars="87"/>
        <w:jc w:val="both"/>
        <w:rPr>
          <w:rFonts w:ascii="仿宋_GB2312" w:eastAsia="仿宋_GB2312"/>
          <w:color w:val="auto"/>
          <w:sz w:val="32"/>
          <w:szCs w:val="32"/>
        </w:rPr>
      </w:pPr>
      <w:r>
        <w:rPr>
          <w:rFonts w:hint="eastAsia" w:ascii="仿宋_GB2312" w:eastAsia="仿宋_GB2312"/>
          <w:color w:val="auto"/>
          <w:sz w:val="32"/>
          <w:szCs w:val="32"/>
        </w:rPr>
        <w:t>（4）</w:t>
      </w:r>
      <w:bookmarkStart w:id="88" w:name="_Hlk103595424"/>
      <w:r>
        <w:rPr>
          <w:rFonts w:hint="eastAsia" w:ascii="仿宋_GB2312" w:eastAsia="仿宋_GB2312"/>
          <w:color w:val="auto"/>
          <w:sz w:val="32"/>
          <w:szCs w:val="32"/>
        </w:rPr>
        <w:t>质量或者配置等方面低于中选前供货标准。</w:t>
      </w:r>
      <w:bookmarkEnd w:id="88"/>
    </w:p>
    <w:p>
      <w:pPr>
        <w:spacing w:line="560" w:lineRule="exact"/>
        <w:ind w:left="0" w:firstLine="640" w:firstLineChars="200"/>
        <w:jc w:val="both"/>
        <w:rPr>
          <w:rFonts w:ascii="仿宋_GB2312" w:eastAsia="仿宋_GB2312"/>
          <w:color w:val="auto"/>
          <w:sz w:val="32"/>
          <w:szCs w:val="32"/>
        </w:rPr>
      </w:pPr>
      <w:r>
        <w:rPr>
          <w:rFonts w:hint="eastAsia" w:ascii="仿宋_GB2312" w:eastAsia="仿宋_GB2312"/>
          <w:color w:val="auto"/>
          <w:sz w:val="32"/>
          <w:szCs w:val="32"/>
        </w:rPr>
        <w:t>以被撤销挂网的中选产品数量为限额，同类备选产品</w:t>
      </w:r>
      <w:r>
        <w:rPr>
          <w:rFonts w:ascii="仿宋_GB2312" w:eastAsia="仿宋_GB2312"/>
          <w:color w:val="auto"/>
          <w:sz w:val="32"/>
          <w:szCs w:val="32"/>
        </w:rPr>
        <w:t>按照顺序依次替补</w:t>
      </w:r>
      <w:r>
        <w:rPr>
          <w:rFonts w:hint="eastAsia" w:ascii="仿宋_GB2312" w:eastAsia="仿宋_GB2312"/>
          <w:color w:val="auto"/>
          <w:sz w:val="32"/>
          <w:szCs w:val="32"/>
        </w:rPr>
        <w:t>获得深圳阳光平台价格优势专区的挂网资格</w:t>
      </w:r>
      <w:bookmarkStart w:id="89" w:name="_Hlk103595441"/>
      <w:r>
        <w:rPr>
          <w:rFonts w:hint="eastAsia" w:ascii="仿宋_GB2312" w:eastAsia="仿宋_GB2312"/>
          <w:color w:val="auto"/>
          <w:sz w:val="32"/>
          <w:szCs w:val="32"/>
        </w:rPr>
        <w:t>（交易中心定期进行操作）</w:t>
      </w:r>
      <w:bookmarkEnd w:id="89"/>
      <w:r>
        <w:rPr>
          <w:rFonts w:hint="eastAsia" w:ascii="仿宋_GB2312" w:eastAsia="仿宋_GB2312"/>
          <w:color w:val="auto"/>
          <w:sz w:val="32"/>
          <w:szCs w:val="32"/>
        </w:rPr>
        <w:t>。被撤销</w:t>
      </w:r>
      <w:r>
        <w:rPr>
          <w:rFonts w:ascii="仿宋_GB2312" w:eastAsia="仿宋_GB2312"/>
          <w:color w:val="auto"/>
          <w:sz w:val="32"/>
          <w:szCs w:val="32"/>
        </w:rPr>
        <w:t>挂网</w:t>
      </w:r>
      <w:r>
        <w:rPr>
          <w:rFonts w:hint="eastAsia" w:ascii="仿宋_GB2312" w:eastAsia="仿宋_GB2312"/>
          <w:color w:val="auto"/>
          <w:sz w:val="32"/>
          <w:szCs w:val="32"/>
        </w:rPr>
        <w:t>资格</w:t>
      </w:r>
      <w:r>
        <w:rPr>
          <w:rFonts w:ascii="仿宋_GB2312" w:eastAsia="仿宋_GB2312"/>
          <w:color w:val="auto"/>
          <w:sz w:val="32"/>
          <w:szCs w:val="32"/>
        </w:rPr>
        <w:t>产品</w:t>
      </w:r>
      <w:r>
        <w:rPr>
          <w:rFonts w:hint="eastAsia" w:ascii="仿宋_GB2312" w:eastAsia="仿宋_GB2312"/>
          <w:color w:val="auto"/>
          <w:sz w:val="32"/>
          <w:szCs w:val="32"/>
        </w:rPr>
        <w:t>的谈判企业，其同类其他产品自动丧失替补资格。</w:t>
      </w:r>
    </w:p>
    <w:p>
      <w:pPr>
        <w:spacing w:line="560" w:lineRule="exact"/>
        <w:ind w:left="0" w:firstLine="640" w:firstLineChars="200"/>
        <w:jc w:val="both"/>
        <w:rPr>
          <w:rFonts w:ascii="仿宋_GB2312" w:eastAsia="仿宋_GB2312"/>
          <w:color w:val="auto"/>
          <w:sz w:val="32"/>
          <w:szCs w:val="32"/>
        </w:rPr>
      </w:pPr>
      <w:r>
        <w:rPr>
          <w:rFonts w:ascii="仿宋_GB2312" w:eastAsia="仿宋_GB2312"/>
          <w:color w:val="auto"/>
          <w:sz w:val="32"/>
          <w:szCs w:val="32"/>
        </w:rPr>
        <w:t>拟替补结果在深圳阳光平台公示三个工作日并接受相关申（投）诉</w:t>
      </w:r>
      <w:r>
        <w:rPr>
          <w:rFonts w:hint="eastAsia" w:ascii="仿宋_GB2312" w:eastAsia="仿宋_GB2312"/>
          <w:color w:val="auto"/>
          <w:sz w:val="32"/>
          <w:szCs w:val="32"/>
        </w:rPr>
        <w:t>，具体参照拟中选结果申（投）诉处理程序执行。</w:t>
      </w:r>
    </w:p>
    <w:bookmarkEnd w:id="87"/>
    <w:p>
      <w:pPr>
        <w:spacing w:line="560" w:lineRule="exact"/>
        <w:ind w:left="0" w:firstLine="640" w:firstLineChars="200"/>
        <w:jc w:val="both"/>
        <w:outlineLvl w:val="1"/>
        <w:rPr>
          <w:rFonts w:ascii="黑体" w:hAnsi="黑体" w:eastAsia="黑体" w:cs="黑体"/>
          <w:color w:val="auto"/>
          <w:kern w:val="2"/>
          <w:sz w:val="32"/>
          <w:szCs w:val="32"/>
        </w:rPr>
      </w:pPr>
      <w:bookmarkStart w:id="90" w:name="_Toc1053"/>
      <w:bookmarkStart w:id="91" w:name="_Toc20413"/>
      <w:bookmarkStart w:id="92" w:name="_Toc23077"/>
      <w:r>
        <w:rPr>
          <w:rFonts w:hint="eastAsia" w:ascii="黑体" w:hAnsi="黑体" w:eastAsia="黑体" w:cs="黑体"/>
          <w:color w:val="auto"/>
          <w:kern w:val="2"/>
          <w:sz w:val="32"/>
          <w:szCs w:val="32"/>
        </w:rPr>
        <w:t>九、交易管理</w:t>
      </w:r>
      <w:bookmarkEnd w:id="83"/>
      <w:bookmarkEnd w:id="90"/>
      <w:bookmarkEnd w:id="91"/>
      <w:bookmarkEnd w:id="92"/>
    </w:p>
    <w:p>
      <w:pPr>
        <w:adjustRightInd w:val="0"/>
        <w:snapToGrid w:val="0"/>
        <w:spacing w:line="560" w:lineRule="exact"/>
        <w:ind w:left="0" w:firstLine="640" w:firstLineChars="200"/>
        <w:jc w:val="both"/>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一）中选企业可将医用耗材直接配送给医疗机构，也可委托配送企业配送。企业委托配送企业配送的，原则上单个产品配送企业不超过3家，且应选择配送能力强、信誉度好、服务优良的配送企业，并充分考虑医疗机构对其服务质量、服务信誉的认同程度等。</w:t>
      </w:r>
    </w:p>
    <w:p>
      <w:pPr>
        <w:adjustRightInd w:val="0"/>
        <w:snapToGrid w:val="0"/>
        <w:spacing w:line="560" w:lineRule="exact"/>
        <w:ind w:left="0" w:firstLine="640" w:firstLineChars="200"/>
        <w:jc w:val="both"/>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二）中选企业对价格优势专区医用耗材产品质量和供应负责，一旦中选，作为供应保障的第一责任人，应加强产品质量控制，在保障医用耗材产品质量的前提下满足全市采购需求。接受委托的配送企业应及时响应医疗机构订单，确保医用耗材在规定时间内足量保质配送给医疗机构。</w:t>
      </w:r>
    </w:p>
    <w:p>
      <w:pPr>
        <w:adjustRightInd w:val="0"/>
        <w:snapToGrid w:val="0"/>
        <w:spacing w:line="560" w:lineRule="exact"/>
        <w:ind w:left="0" w:firstLine="640" w:firstLineChars="200"/>
        <w:jc w:val="both"/>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三）医疗机构、中选企业和配送企业签订线上采购合同。中选企业和配送企业根据采购合同约定，及时响应订单，做好产品配送、发票开具、票据上传及售后服务等工作。医疗机构应通过深圳阳光平台采购价格优势专区产品，按采购合同约定做好收货、验收、发票核验等工作并及时支付货款。</w:t>
      </w:r>
    </w:p>
    <w:p>
      <w:pPr>
        <w:adjustRightInd w:val="0"/>
        <w:snapToGrid w:val="0"/>
        <w:spacing w:line="560" w:lineRule="exact"/>
        <w:ind w:left="0" w:firstLine="640" w:firstLineChars="200"/>
        <w:jc w:val="both"/>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（四）</w:t>
      </w:r>
      <w:r>
        <w:rPr>
          <w:rFonts w:hint="eastAsia" w:ascii="仿宋_GB2312" w:hAnsi="仿宋_GB2312" w:eastAsia="仿宋_GB2312" w:cs="仿宋_GB2312"/>
          <w:color w:val="auto"/>
          <w:sz w:val="32"/>
          <w:szCs w:val="32"/>
        </w:rPr>
        <w:t>交易中心</w:t>
      </w:r>
      <w:r>
        <w:rPr>
          <w:rFonts w:hint="eastAsia" w:ascii="仿宋_GB2312" w:eastAsia="仿宋_GB2312" w:cstheme="minorBidi"/>
          <w:color w:val="auto"/>
          <w:kern w:val="2"/>
          <w:sz w:val="32"/>
          <w:szCs w:val="32"/>
        </w:rPr>
        <w:t>加强对价格优势专区产品实际采购情况的采集监测，强化采购交易管理，及时纠正不良购销行为，保障专区采购平稳有序运行。</w:t>
      </w:r>
      <w:bookmarkStart w:id="93" w:name="_Toc28843"/>
    </w:p>
    <w:p>
      <w:pPr>
        <w:spacing w:line="560" w:lineRule="exact"/>
        <w:ind w:left="0" w:firstLine="640" w:firstLineChars="200"/>
        <w:jc w:val="both"/>
        <w:outlineLvl w:val="1"/>
        <w:rPr>
          <w:rFonts w:ascii="黑体" w:hAnsi="黑体" w:eastAsia="黑体" w:cs="黑体"/>
          <w:color w:val="auto"/>
          <w:kern w:val="2"/>
          <w:sz w:val="32"/>
          <w:szCs w:val="32"/>
        </w:rPr>
      </w:pPr>
      <w:bookmarkStart w:id="94" w:name="_Toc4875"/>
      <w:bookmarkStart w:id="95" w:name="_Toc15821"/>
      <w:bookmarkStart w:id="96" w:name="_Toc11022"/>
      <w:r>
        <w:rPr>
          <w:rFonts w:hint="eastAsia" w:ascii="黑体" w:hAnsi="黑体" w:eastAsia="黑体" w:cs="黑体"/>
          <w:color w:val="auto"/>
          <w:kern w:val="2"/>
          <w:sz w:val="32"/>
          <w:szCs w:val="32"/>
        </w:rPr>
        <w:t>十、其他</w:t>
      </w:r>
      <w:bookmarkEnd w:id="93"/>
      <w:bookmarkEnd w:id="94"/>
      <w:bookmarkEnd w:id="95"/>
      <w:bookmarkEnd w:id="96"/>
    </w:p>
    <w:p>
      <w:pPr>
        <w:adjustRightInd w:val="0"/>
        <w:snapToGrid w:val="0"/>
        <w:spacing w:line="560" w:lineRule="exact"/>
        <w:ind w:left="0" w:firstLine="640" w:firstLineChars="200"/>
        <w:jc w:val="both"/>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（一）</w:t>
      </w:r>
      <w:bookmarkStart w:id="97" w:name="_Hlk102319935"/>
      <w:r>
        <w:rPr>
          <w:rFonts w:hint="eastAsia" w:ascii="仿宋_GB2312" w:eastAsia="仿宋_GB2312" w:cstheme="minorBidi"/>
          <w:color w:val="auto"/>
          <w:kern w:val="2"/>
          <w:sz w:val="32"/>
          <w:szCs w:val="32"/>
        </w:rPr>
        <w:t>严格落实国家、广东省关于建立医药价格和招采信用评价制度的要求。对参与医用耗材阳光交易的企业在定价、投标、履约、营销等方面的失信行为，将予以上报评级，并按规定分级处置、处理。</w:t>
      </w:r>
      <w:bookmarkEnd w:id="97"/>
    </w:p>
    <w:p>
      <w:pPr>
        <w:adjustRightInd w:val="0"/>
        <w:snapToGrid w:val="0"/>
        <w:spacing w:line="560" w:lineRule="exact"/>
        <w:ind w:left="0" w:firstLine="640" w:firstLineChars="200"/>
        <w:jc w:val="both"/>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（二）请相关企业密切留意本网站最新公告、通知。所有在深圳公共资源交易网站发布的公告、通知均视为有效送达。</w:t>
      </w:r>
    </w:p>
    <w:p>
      <w:pPr>
        <w:adjustRightInd w:val="0"/>
        <w:snapToGrid w:val="0"/>
        <w:spacing w:line="560" w:lineRule="exact"/>
        <w:ind w:left="0" w:firstLine="640" w:firstLineChars="200"/>
        <w:jc w:val="both"/>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（三）若本采购文件、补充及说明、最新公告、通知等文件之间有冲突或不一致之处时，以最后发出的内容为准。</w:t>
      </w:r>
    </w:p>
    <w:p>
      <w:pPr>
        <w:adjustRightInd w:val="0"/>
        <w:snapToGrid w:val="0"/>
        <w:spacing w:line="560" w:lineRule="exact"/>
        <w:ind w:left="0" w:firstLine="640" w:firstLineChars="200"/>
        <w:jc w:val="both"/>
        <w:rPr>
          <w:rFonts w:ascii="仿宋_GB2312" w:eastAsia="仿宋_GB2312" w:cstheme="minorBidi"/>
          <w:color w:val="auto"/>
          <w:kern w:val="2"/>
          <w:sz w:val="32"/>
          <w:szCs w:val="32"/>
        </w:rPr>
      </w:pPr>
      <w:r>
        <w:rPr>
          <w:rFonts w:hint="eastAsia" w:ascii="仿宋_GB2312" w:eastAsia="仿宋_GB2312" w:cstheme="minorBidi"/>
          <w:color w:val="auto"/>
          <w:kern w:val="2"/>
          <w:sz w:val="32"/>
          <w:szCs w:val="32"/>
        </w:rPr>
        <w:t>（四）价格优势专区的产品如被纳入国家或广东省或深圳市组织集中带量采购的或有相关新政策规定的，从其规定。</w:t>
      </w:r>
      <w:bookmarkStart w:id="98" w:name="_Toc13926"/>
    </w:p>
    <w:p>
      <w:pPr>
        <w:adjustRightInd w:val="0"/>
        <w:snapToGrid w:val="0"/>
        <w:spacing w:line="560" w:lineRule="exact"/>
        <w:ind w:left="0" w:firstLine="640" w:firstLineChars="200"/>
        <w:jc w:val="both"/>
        <w:rPr>
          <w:rFonts w:ascii="仿宋_GB2312" w:hAnsi="仿宋_GB2312" w:eastAsia="仿宋_GB2312" w:cs="仿宋_GB2312"/>
          <w:color w:val="auto"/>
          <w:sz w:val="32"/>
          <w:szCs w:val="32"/>
        </w:rPr>
      </w:pPr>
      <w:r>
        <w:rPr>
          <w:rFonts w:hint="eastAsia" w:ascii="仿宋_GB2312" w:eastAsia="仿宋_GB2312" w:cstheme="minorBidi"/>
          <w:color w:val="auto"/>
          <w:kern w:val="2"/>
          <w:sz w:val="32"/>
          <w:szCs w:val="32"/>
        </w:rPr>
        <w:t>（五）</w:t>
      </w:r>
      <w:r>
        <w:rPr>
          <w:rFonts w:hint="eastAsia" w:ascii="仿宋_GB2312" w:hAnsi="仿宋_GB2312" w:eastAsia="仿宋_GB2312" w:cs="仿宋_GB2312"/>
          <w:color w:val="auto"/>
          <w:sz w:val="32"/>
          <w:szCs w:val="32"/>
        </w:rPr>
        <w:t>申报企业在正式信息申报前应当将本采购文件附件1“承诺函”加盖公章后通过深圳阳光平台相关功能模块上传，本采购文件附件2“医疗机构医用耗材价格优势专区采购合同”将嵌入深圳阳光平台相关功能模块，直接用于签订中选产品采购合同。</w:t>
      </w:r>
    </w:p>
    <w:p>
      <w:pPr>
        <w:adjustRightInd w:val="0"/>
        <w:snapToGrid w:val="0"/>
        <w:spacing w:line="560" w:lineRule="exact"/>
        <w:ind w:left="0" w:firstLine="640" w:firstLineChars="200"/>
        <w:jc w:val="both"/>
        <w:rPr>
          <w:color w:val="auto"/>
        </w:rPr>
      </w:pPr>
      <w:r>
        <w:rPr>
          <w:rFonts w:hint="eastAsia" w:ascii="仿宋_GB2312" w:eastAsia="仿宋_GB2312" w:cstheme="minorBidi"/>
          <w:color w:val="auto"/>
          <w:kern w:val="2"/>
          <w:sz w:val="32"/>
          <w:szCs w:val="32"/>
        </w:rPr>
        <w:t>（六）本采购文件解释权归交易中心所有。</w:t>
      </w:r>
    </w:p>
    <w:p>
      <w:pPr>
        <w:spacing w:line="560" w:lineRule="exact"/>
        <w:jc w:val="both"/>
        <w:rPr>
          <w:color w:val="auto"/>
        </w:rPr>
      </w:pPr>
      <w:bookmarkStart w:id="99" w:name="_Toc27238"/>
      <w:bookmarkStart w:id="100" w:name="_Toc31724"/>
      <w:r>
        <w:rPr>
          <w:rFonts w:ascii="方正小标宋简体" w:hAnsi="方正小标宋简体" w:eastAsia="方正小标宋简体" w:cs="方正小标宋简体"/>
          <w:color w:val="auto"/>
          <w:kern w:val="2"/>
        </w:rPr>
        <w:br w:type="page"/>
      </w:r>
    </w:p>
    <w:p>
      <w:pPr>
        <w:pStyle w:val="3"/>
        <w:widowControl/>
        <w:spacing w:after="163" w:afterLines="50" w:line="560" w:lineRule="exact"/>
        <w:jc w:val="center"/>
        <w:rPr>
          <w:rFonts w:ascii="仿宋_GB2312" w:hAnsi="inherit" w:eastAsia="仿宋_GB2312" w:cs="宋体"/>
          <w:color w:val="auto"/>
          <w:sz w:val="32"/>
          <w:szCs w:val="32"/>
        </w:rPr>
      </w:pPr>
      <w:bookmarkStart w:id="101" w:name="_Toc25632"/>
      <w:r>
        <w:rPr>
          <w:rFonts w:hint="eastAsia" w:ascii="方正小标宋简体" w:hAnsi="方正小标宋简体" w:eastAsia="方正小标宋简体" w:cs="方正小标宋简体"/>
          <w:b w:val="0"/>
          <w:bCs w:val="0"/>
          <w:color w:val="auto"/>
          <w:kern w:val="2"/>
        </w:rPr>
        <w:t>第三部分 附件</w:t>
      </w:r>
      <w:bookmarkEnd w:id="99"/>
      <w:bookmarkEnd w:id="100"/>
      <w:bookmarkEnd w:id="101"/>
    </w:p>
    <w:p>
      <w:pPr>
        <w:pStyle w:val="3"/>
        <w:widowControl/>
        <w:spacing w:before="0" w:after="160" w:line="560" w:lineRule="exact"/>
        <w:ind w:left="0"/>
        <w:jc w:val="both"/>
        <w:rPr>
          <w:rFonts w:ascii="黑体" w:hAnsi="黑体" w:eastAsia="黑体" w:cs="黑体"/>
          <w:b w:val="0"/>
          <w:bCs w:val="0"/>
          <w:color w:val="auto"/>
          <w:kern w:val="2"/>
          <w:sz w:val="32"/>
          <w:szCs w:val="28"/>
        </w:rPr>
      </w:pPr>
      <w:bookmarkStart w:id="102" w:name="_Toc30226"/>
      <w:bookmarkStart w:id="103" w:name="_Toc28976"/>
      <w:bookmarkStart w:id="104" w:name="_Toc29968"/>
      <w:bookmarkStart w:id="105" w:name="_Toc12661"/>
      <w:bookmarkStart w:id="106" w:name="_Toc18854"/>
      <w:r>
        <w:rPr>
          <w:rFonts w:hint="eastAsia" w:ascii="黑体" w:hAnsi="黑体" w:eastAsia="黑体" w:cs="黑体"/>
          <w:b w:val="0"/>
          <w:bCs w:val="0"/>
          <w:color w:val="auto"/>
          <w:kern w:val="2"/>
          <w:sz w:val="32"/>
          <w:szCs w:val="28"/>
        </w:rPr>
        <w:t>附件1</w:t>
      </w:r>
      <w:bookmarkEnd w:id="98"/>
      <w:bookmarkEnd w:id="102"/>
      <w:bookmarkEnd w:id="103"/>
      <w:bookmarkEnd w:id="104"/>
      <w:bookmarkEnd w:id="105"/>
      <w:bookmarkEnd w:id="106"/>
    </w:p>
    <w:p>
      <w:pPr>
        <w:spacing w:line="560" w:lineRule="exact"/>
        <w:ind w:left="0"/>
        <w:jc w:val="center"/>
        <w:rPr>
          <w:rFonts w:ascii="仿宋_GB2312" w:hAnsi="仿宋_GB2312" w:eastAsia="仿宋_GB2312" w:cs="仿宋_GB2312"/>
          <w:color w:val="auto"/>
          <w:sz w:val="32"/>
          <w:szCs w:val="32"/>
        </w:rPr>
      </w:pPr>
      <w:bookmarkStart w:id="107" w:name="_Toc5971"/>
      <w:r>
        <w:rPr>
          <w:rFonts w:hint="eastAsia" w:ascii="仿宋_GB2312" w:hAnsi="仿宋_GB2312" w:eastAsia="仿宋_GB2312" w:cs="仿宋_GB2312"/>
          <w:color w:val="auto"/>
          <w:kern w:val="2"/>
          <w:sz w:val="32"/>
          <w:szCs w:val="32"/>
        </w:rPr>
        <w:t>承诺函</w:t>
      </w:r>
      <w:bookmarkEnd w:id="107"/>
    </w:p>
    <w:p>
      <w:pPr>
        <w:snapToGrid w:val="0"/>
        <w:spacing w:after="163" w:afterLines="50" w:line="560" w:lineRule="exact"/>
        <w:jc w:val="both"/>
        <w:rPr>
          <w:rFonts w:ascii="仿宋_GB2312" w:hAnsi="仿宋" w:eastAsia="仿宋_GB2312"/>
          <w:color w:val="auto"/>
          <w:sz w:val="32"/>
          <w:szCs w:val="32"/>
        </w:rPr>
      </w:pPr>
    </w:p>
    <w:p>
      <w:pPr>
        <w:spacing w:line="560" w:lineRule="exact"/>
        <w:ind w:left="0"/>
        <w:jc w:val="both"/>
        <w:rPr>
          <w:rFonts w:ascii="仿宋_GB2312" w:eastAsia="仿宋_GB2312" w:hAnsiTheme="minorHAnsi" w:cstheme="minorBidi"/>
          <w:color w:val="auto"/>
          <w:kern w:val="2"/>
          <w:sz w:val="32"/>
          <w:szCs w:val="32"/>
        </w:rPr>
      </w:pPr>
      <w:r>
        <w:rPr>
          <w:rFonts w:hint="eastAsia" w:ascii="仿宋_GB2312" w:eastAsia="仿宋_GB2312" w:hAnsiTheme="minorHAnsi" w:cstheme="minorBidi"/>
          <w:color w:val="auto"/>
          <w:kern w:val="2"/>
          <w:sz w:val="32"/>
          <w:szCs w:val="32"/>
        </w:rPr>
        <w:t>深圳公共资源交易中心：</w:t>
      </w:r>
    </w:p>
    <w:p>
      <w:pPr>
        <w:spacing w:line="560" w:lineRule="exact"/>
        <w:ind w:left="0" w:firstLine="640" w:firstLineChars="200"/>
        <w:jc w:val="both"/>
        <w:rPr>
          <w:rFonts w:ascii="仿宋_GB2312" w:eastAsia="仿宋_GB2312" w:hAnsiTheme="minorHAnsi" w:cstheme="minorBidi"/>
          <w:color w:val="auto"/>
          <w:kern w:val="2"/>
          <w:sz w:val="32"/>
          <w:szCs w:val="32"/>
        </w:rPr>
      </w:pPr>
      <w:r>
        <w:rPr>
          <w:rFonts w:hint="eastAsia" w:ascii="仿宋_GB2312" w:eastAsia="仿宋_GB2312" w:hAnsiTheme="minorHAnsi" w:cstheme="minorBidi"/>
          <w:color w:val="auto"/>
          <w:kern w:val="2"/>
          <w:sz w:val="32"/>
          <w:szCs w:val="32"/>
        </w:rPr>
        <w:t>我方</w:t>
      </w:r>
      <w:r>
        <w:rPr>
          <w:rFonts w:hint="eastAsia" w:ascii="仿宋_GB2312" w:eastAsia="仿宋_GB2312" w:hAnsiTheme="minorHAnsi" w:cstheme="minorBidi"/>
          <w:color w:val="auto"/>
          <w:kern w:val="2"/>
          <w:sz w:val="32"/>
          <w:szCs w:val="32"/>
          <w:u w:val="single"/>
        </w:rPr>
        <w:t xml:space="preserve">      （公司名称）      </w:t>
      </w:r>
      <w:r>
        <w:rPr>
          <w:rFonts w:hint="eastAsia" w:ascii="仿宋_GB2312" w:eastAsia="仿宋_GB2312" w:hAnsiTheme="minorHAnsi" w:cstheme="minorBidi"/>
          <w:color w:val="auto"/>
          <w:kern w:val="2"/>
          <w:sz w:val="32"/>
          <w:szCs w:val="32"/>
        </w:rPr>
        <w:t>，遵照相关规定，在充分理解本次深圳阳光平台</w:t>
      </w:r>
      <w:r>
        <w:rPr>
          <w:rFonts w:hint="eastAsia" w:ascii="仿宋_GB2312" w:eastAsia="仿宋_GB2312" w:hAnsiTheme="minorHAnsi" w:cstheme="minorBidi"/>
          <w:color w:val="auto"/>
          <w:kern w:val="2"/>
          <w:sz w:val="32"/>
          <w:szCs w:val="32"/>
          <w:lang w:eastAsia="zh-CN"/>
        </w:rPr>
        <w:t>泌尿介入导丝等五类医用耗材</w:t>
      </w:r>
      <w:r>
        <w:rPr>
          <w:rFonts w:hint="eastAsia" w:ascii="仿宋_GB2312" w:eastAsia="仿宋_GB2312" w:hAnsiTheme="minorHAnsi" w:cstheme="minorBidi"/>
          <w:color w:val="auto"/>
          <w:kern w:val="2"/>
          <w:sz w:val="32"/>
          <w:szCs w:val="32"/>
        </w:rPr>
        <w:t>价格谈判采购文件（项目编号：</w:t>
      </w:r>
      <w:r>
        <w:rPr>
          <w:rFonts w:hint="eastAsia" w:ascii="仿宋_GB2312" w:hAnsi="仿宋_GB2312" w:eastAsia="仿宋_GB2312" w:cs="仿宋_GB2312"/>
          <w:color w:val="auto"/>
          <w:kern w:val="2"/>
          <w:sz w:val="32"/>
          <w:szCs w:val="32"/>
        </w:rPr>
        <w:t>SZJGTP202</w:t>
      </w:r>
      <w:r>
        <w:rPr>
          <w:rFonts w:hint="eastAsia" w:ascii="仿宋_GB2312" w:hAnsi="仿宋_GB2312" w:eastAsia="仿宋_GB2312" w:cs="仿宋_GB2312"/>
          <w:color w:val="auto"/>
          <w:kern w:val="2"/>
          <w:sz w:val="32"/>
          <w:szCs w:val="32"/>
          <w:lang w:val="en-US" w:eastAsia="zh-CN"/>
        </w:rPr>
        <w:t>3</w:t>
      </w:r>
      <w:r>
        <w:rPr>
          <w:rFonts w:hint="eastAsia" w:ascii="仿宋_GB2312" w:hAnsi="仿宋_GB2312" w:eastAsia="仿宋_GB2312" w:cs="仿宋_GB2312"/>
          <w:color w:val="auto"/>
          <w:kern w:val="2"/>
          <w:sz w:val="32"/>
          <w:szCs w:val="32"/>
        </w:rPr>
        <w:t>000</w:t>
      </w:r>
      <w:r>
        <w:rPr>
          <w:rFonts w:hint="eastAsia" w:ascii="仿宋_GB2312" w:hAnsi="仿宋_GB2312" w:eastAsia="仿宋_GB2312" w:cs="仿宋_GB2312"/>
          <w:color w:val="auto"/>
          <w:kern w:val="2"/>
          <w:sz w:val="32"/>
          <w:szCs w:val="32"/>
          <w:lang w:val="en-US" w:eastAsia="zh-CN"/>
        </w:rPr>
        <w:t>2</w:t>
      </w:r>
      <w:r>
        <w:rPr>
          <w:rFonts w:hint="eastAsia" w:ascii="仿宋_GB2312" w:eastAsia="仿宋_GB2312" w:hAnsiTheme="minorHAnsi" w:cstheme="minorBidi"/>
          <w:color w:val="auto"/>
          <w:kern w:val="2"/>
          <w:sz w:val="32"/>
          <w:szCs w:val="32"/>
        </w:rPr>
        <w:t>）后，完全认可并接受采购文件中“谈判企业须知”的各项要求，决定按照采购文件参与本次谈判，并按要求认真填写和提交相关材料。我方保证申报信息、谈判价格及其他相关证明材料的真实性、合法性、有效性。</w:t>
      </w:r>
    </w:p>
    <w:p>
      <w:pPr>
        <w:spacing w:line="560" w:lineRule="exact"/>
        <w:ind w:left="0" w:firstLine="640" w:firstLineChars="200"/>
        <w:jc w:val="both"/>
        <w:rPr>
          <w:rFonts w:ascii="仿宋_GB2312" w:eastAsia="仿宋_GB2312" w:hAnsiTheme="minorHAnsi" w:cstheme="minorBidi"/>
          <w:color w:val="auto"/>
          <w:kern w:val="2"/>
          <w:sz w:val="32"/>
          <w:szCs w:val="32"/>
        </w:rPr>
      </w:pPr>
      <w:r>
        <w:rPr>
          <w:rFonts w:hint="eastAsia" w:ascii="仿宋_GB2312" w:eastAsia="仿宋_GB2312" w:hAnsiTheme="minorHAnsi" w:cstheme="minorBidi"/>
          <w:color w:val="auto"/>
          <w:kern w:val="2"/>
          <w:sz w:val="32"/>
          <w:szCs w:val="32"/>
        </w:rPr>
        <w:t>我方已充分考虑原材料价格等因素，并以此参与谈判。我方承诺谈判价格不低于本企业该产品的成本价。我方完全理解及遵守采购文件中的中选规则，理解贵方不一定要接受最低价的报价。</w:t>
      </w:r>
    </w:p>
    <w:p>
      <w:pPr>
        <w:spacing w:line="560" w:lineRule="exact"/>
        <w:ind w:left="0" w:firstLine="640" w:firstLineChars="200"/>
        <w:jc w:val="both"/>
        <w:rPr>
          <w:rFonts w:ascii="仿宋_GB2312" w:eastAsia="仿宋_GB2312" w:hAnsiTheme="minorHAnsi" w:cstheme="minorBidi"/>
          <w:color w:val="auto"/>
          <w:kern w:val="2"/>
          <w:sz w:val="32"/>
          <w:szCs w:val="32"/>
        </w:rPr>
      </w:pPr>
      <w:r>
        <w:rPr>
          <w:rFonts w:hint="eastAsia" w:ascii="仿宋_GB2312" w:eastAsia="仿宋_GB2312" w:hAnsiTheme="minorHAnsi" w:cstheme="minorBidi"/>
          <w:color w:val="auto"/>
          <w:kern w:val="2"/>
          <w:sz w:val="32"/>
          <w:szCs w:val="32"/>
        </w:rPr>
        <w:t>我方自愿参与本次价格谈判并作出如下承诺：</w:t>
      </w:r>
    </w:p>
    <w:p>
      <w:pPr>
        <w:spacing w:line="560" w:lineRule="exact"/>
        <w:ind w:left="0" w:firstLine="640" w:firstLineChars="200"/>
        <w:jc w:val="both"/>
        <w:rPr>
          <w:rFonts w:ascii="仿宋_GB2312" w:eastAsia="仿宋_GB2312" w:hAnsiTheme="minorHAnsi" w:cstheme="minorBidi"/>
          <w:color w:val="auto"/>
          <w:kern w:val="2"/>
          <w:sz w:val="32"/>
          <w:szCs w:val="32"/>
        </w:rPr>
      </w:pPr>
      <w:r>
        <w:rPr>
          <w:rFonts w:hint="eastAsia" w:ascii="仿宋_GB2312" w:eastAsia="仿宋_GB2312" w:hAnsiTheme="minorHAnsi" w:cstheme="minorBidi"/>
          <w:color w:val="auto"/>
          <w:kern w:val="2"/>
          <w:sz w:val="32"/>
          <w:szCs w:val="32"/>
        </w:rPr>
        <w:t>一、我方承诺，不实施虚开虚受增值税发票及其他形式虚构服务套现洗钱行为。</w:t>
      </w:r>
    </w:p>
    <w:p>
      <w:pPr>
        <w:spacing w:line="560" w:lineRule="exact"/>
        <w:ind w:left="0" w:firstLine="640" w:firstLineChars="200"/>
        <w:jc w:val="both"/>
        <w:rPr>
          <w:rFonts w:ascii="仿宋_GB2312" w:eastAsia="仿宋_GB2312" w:hAnsiTheme="minorHAnsi" w:cstheme="minorBidi"/>
          <w:color w:val="auto"/>
          <w:kern w:val="2"/>
          <w:sz w:val="32"/>
          <w:szCs w:val="32"/>
        </w:rPr>
      </w:pPr>
      <w:r>
        <w:rPr>
          <w:rFonts w:hint="eastAsia" w:ascii="仿宋_GB2312" w:eastAsia="仿宋_GB2312" w:hAnsiTheme="minorHAnsi" w:cstheme="minorBidi"/>
          <w:color w:val="auto"/>
          <w:kern w:val="2"/>
          <w:sz w:val="32"/>
          <w:szCs w:val="32"/>
        </w:rPr>
        <w:t>二、我方承诺，不利用本次医用耗材价格谈判产品垄断地位或市场支配地位，操纵其价格和供应牟取暴利。不针对不同群体、不同渠道制定实施明显不合理的差异化定价。</w:t>
      </w:r>
    </w:p>
    <w:p>
      <w:pPr>
        <w:spacing w:line="560" w:lineRule="exact"/>
        <w:ind w:left="0" w:firstLine="640" w:firstLineChars="200"/>
        <w:jc w:val="both"/>
        <w:rPr>
          <w:rFonts w:ascii="仿宋_GB2312" w:eastAsia="仿宋_GB2312" w:hAnsiTheme="minorHAnsi" w:cstheme="minorBidi"/>
          <w:color w:val="auto"/>
          <w:kern w:val="2"/>
          <w:sz w:val="32"/>
          <w:szCs w:val="32"/>
        </w:rPr>
      </w:pPr>
      <w:r>
        <w:rPr>
          <w:rFonts w:hint="eastAsia" w:ascii="仿宋_GB2312" w:eastAsia="仿宋_GB2312" w:hAnsiTheme="minorHAnsi" w:cstheme="minorBidi"/>
          <w:color w:val="auto"/>
          <w:kern w:val="2"/>
          <w:sz w:val="32"/>
          <w:szCs w:val="32"/>
        </w:rPr>
        <w:t>三、我方承诺，为本次医用耗材价格谈判所提供的产品或者服务未侵犯知识产权。</w:t>
      </w:r>
    </w:p>
    <w:p>
      <w:pPr>
        <w:spacing w:line="560" w:lineRule="exact"/>
        <w:ind w:left="0" w:firstLine="640" w:firstLineChars="200"/>
        <w:jc w:val="both"/>
        <w:rPr>
          <w:rFonts w:ascii="仿宋_GB2312" w:eastAsia="仿宋_GB2312" w:hAnsiTheme="minorHAnsi" w:cstheme="minorBidi"/>
          <w:color w:val="auto"/>
          <w:kern w:val="2"/>
          <w:sz w:val="32"/>
          <w:szCs w:val="32"/>
        </w:rPr>
      </w:pPr>
      <w:r>
        <w:rPr>
          <w:rFonts w:hint="eastAsia" w:ascii="仿宋_GB2312" w:eastAsia="仿宋_GB2312" w:hAnsiTheme="minorHAnsi" w:cstheme="minorBidi"/>
          <w:color w:val="auto"/>
          <w:kern w:val="2"/>
          <w:sz w:val="32"/>
          <w:szCs w:val="32"/>
        </w:rPr>
        <w:t>四、我方承诺，严格约束委托代理人（具有委托代理关系的法人和自然人）在法律允许的范围内从事经营活动。不向采购我方医用耗材的医疗机构管理人员、采购人员、医师等有关人员给予回扣或其他不正当利益。</w:t>
      </w:r>
    </w:p>
    <w:p>
      <w:pPr>
        <w:spacing w:line="560" w:lineRule="exact"/>
        <w:ind w:left="0" w:firstLine="640" w:firstLineChars="200"/>
        <w:jc w:val="both"/>
        <w:rPr>
          <w:rFonts w:ascii="仿宋_GB2312" w:eastAsia="仿宋_GB2312" w:hAnsiTheme="minorHAnsi" w:cstheme="minorBidi"/>
          <w:color w:val="auto"/>
          <w:kern w:val="2"/>
          <w:sz w:val="32"/>
          <w:szCs w:val="32"/>
        </w:rPr>
      </w:pPr>
      <w:r>
        <w:rPr>
          <w:rFonts w:hint="eastAsia" w:ascii="仿宋_GB2312" w:eastAsia="仿宋_GB2312" w:hAnsiTheme="minorHAnsi" w:cstheme="minorBidi"/>
          <w:color w:val="auto"/>
          <w:kern w:val="2"/>
          <w:sz w:val="32"/>
          <w:szCs w:val="32"/>
        </w:rPr>
        <w:t>五、我方承诺，如我方在本次医用耗材购销中存在违背已承诺事项的，我方承诺承担失信违约责任，我方愿意接受信用评级以及结合信用等级实施的处置措施</w:t>
      </w:r>
    </w:p>
    <w:p>
      <w:pPr>
        <w:spacing w:line="560" w:lineRule="exact"/>
        <w:ind w:left="0" w:firstLine="640" w:firstLineChars="200"/>
        <w:jc w:val="both"/>
        <w:rPr>
          <w:rFonts w:ascii="仿宋_GB2312" w:eastAsia="仿宋_GB2312" w:hAnsiTheme="minorHAnsi" w:cstheme="minorBidi"/>
          <w:color w:val="auto"/>
          <w:kern w:val="2"/>
          <w:sz w:val="32"/>
          <w:szCs w:val="32"/>
        </w:rPr>
      </w:pPr>
      <w:r>
        <w:rPr>
          <w:rFonts w:hint="eastAsia" w:ascii="仿宋_GB2312" w:eastAsia="仿宋_GB2312" w:hAnsiTheme="minorHAnsi" w:cstheme="minorBidi"/>
          <w:color w:val="auto"/>
          <w:kern w:val="2"/>
          <w:sz w:val="32"/>
          <w:szCs w:val="32"/>
        </w:rPr>
        <w:t>六、我方承诺，主动维护良好信用，必要时采取切实措施修复信用。</w:t>
      </w:r>
    </w:p>
    <w:p>
      <w:pPr>
        <w:spacing w:line="560" w:lineRule="exact"/>
        <w:ind w:left="0" w:firstLine="640" w:firstLineChars="200"/>
        <w:jc w:val="both"/>
        <w:rPr>
          <w:rFonts w:ascii="仿宋_GB2312" w:eastAsia="仿宋_GB2312" w:hAnsiTheme="minorHAnsi" w:cstheme="minorBidi"/>
          <w:color w:val="auto"/>
          <w:kern w:val="2"/>
          <w:sz w:val="32"/>
          <w:szCs w:val="32"/>
        </w:rPr>
      </w:pPr>
      <w:r>
        <w:rPr>
          <w:rFonts w:hint="eastAsia" w:ascii="仿宋_GB2312" w:eastAsia="仿宋_GB2312" w:hAnsiTheme="minorHAnsi" w:cstheme="minorBidi"/>
          <w:color w:val="auto"/>
          <w:kern w:val="2"/>
          <w:sz w:val="32"/>
          <w:szCs w:val="32"/>
        </w:rPr>
        <w:t>七、我方承诺，遵循公平、合理和诚实信用、质价相符的法定原则定价，将价格与成本、供求合理匹配，保持不同品规、不同地区之间价格平衡，维护价格一定时期内相对稳定。因第三方实施垄断、操纵市场，或要素成本剧烈变化等情形被动提高本次医用耗材产品价格的，我方承诺在上述情形终止后，及时纠正价格。</w:t>
      </w:r>
    </w:p>
    <w:p>
      <w:pPr>
        <w:spacing w:line="560" w:lineRule="exact"/>
        <w:ind w:left="0" w:firstLine="640" w:firstLineChars="200"/>
        <w:jc w:val="both"/>
        <w:rPr>
          <w:rFonts w:ascii="仿宋_GB2312" w:eastAsia="仿宋_GB2312" w:hAnsiTheme="minorHAnsi" w:cstheme="minorBidi"/>
          <w:color w:val="auto"/>
          <w:kern w:val="2"/>
          <w:sz w:val="32"/>
          <w:szCs w:val="32"/>
        </w:rPr>
      </w:pPr>
      <w:r>
        <w:rPr>
          <w:rFonts w:hint="eastAsia" w:ascii="仿宋_GB2312" w:eastAsia="仿宋_GB2312" w:hAnsiTheme="minorHAnsi" w:cstheme="minorBidi"/>
          <w:color w:val="auto"/>
          <w:kern w:val="2"/>
          <w:sz w:val="32"/>
          <w:szCs w:val="32"/>
        </w:rPr>
        <w:t>八、我方承诺，及时、全面、完整、规范申报失信信息，不漏报，不瞒报，不推诿。</w:t>
      </w:r>
    </w:p>
    <w:p>
      <w:pPr>
        <w:spacing w:line="560" w:lineRule="exact"/>
        <w:ind w:left="0" w:firstLine="640" w:firstLineChars="200"/>
        <w:jc w:val="both"/>
        <w:rPr>
          <w:rFonts w:ascii="仿宋_GB2312" w:eastAsia="仿宋_GB2312" w:hAnsiTheme="minorHAnsi" w:cstheme="minorBidi"/>
          <w:strike/>
          <w:color w:val="auto"/>
          <w:kern w:val="2"/>
          <w:sz w:val="32"/>
          <w:szCs w:val="32"/>
        </w:rPr>
      </w:pPr>
      <w:r>
        <w:rPr>
          <w:rFonts w:hint="eastAsia" w:ascii="仿宋_GB2312" w:eastAsia="仿宋_GB2312" w:hAnsiTheme="minorHAnsi" w:cstheme="minorBidi"/>
          <w:color w:val="auto"/>
          <w:kern w:val="2"/>
          <w:sz w:val="32"/>
          <w:szCs w:val="32"/>
        </w:rPr>
        <w:t>九、我方承诺，本次医用耗材价格谈判活动中，不弄虚作假，不隐瞒真实情况，不围标串标，不恶意质疑投诉。</w:t>
      </w:r>
    </w:p>
    <w:p>
      <w:pPr>
        <w:spacing w:line="560" w:lineRule="exact"/>
        <w:ind w:left="0" w:firstLine="640" w:firstLineChars="200"/>
        <w:jc w:val="both"/>
        <w:rPr>
          <w:rFonts w:ascii="仿宋_GB2312" w:eastAsia="仿宋_GB2312" w:hAnsiTheme="minorHAnsi" w:cstheme="minorBidi"/>
          <w:color w:val="auto"/>
          <w:kern w:val="2"/>
          <w:sz w:val="32"/>
          <w:szCs w:val="32"/>
        </w:rPr>
      </w:pPr>
      <w:r>
        <w:rPr>
          <w:rFonts w:hint="eastAsia" w:ascii="仿宋_GB2312" w:eastAsia="仿宋_GB2312" w:hAnsiTheme="minorHAnsi" w:cstheme="minorBidi"/>
          <w:color w:val="auto"/>
          <w:kern w:val="2"/>
          <w:sz w:val="32"/>
          <w:szCs w:val="32"/>
        </w:rPr>
        <w:t>以上承诺，如有违反，愿依照国家相关法律处理，并承担由此给深圳公共资源交易中心和采购主体带来的损失。</w:t>
      </w:r>
    </w:p>
    <w:p>
      <w:pPr>
        <w:pStyle w:val="13"/>
        <w:spacing w:line="560" w:lineRule="exact"/>
        <w:jc w:val="both"/>
        <w:rPr>
          <w:color w:val="auto"/>
        </w:rPr>
      </w:pPr>
    </w:p>
    <w:p>
      <w:pPr>
        <w:pStyle w:val="13"/>
        <w:spacing w:line="560" w:lineRule="exact"/>
        <w:jc w:val="both"/>
        <w:rPr>
          <w:color w:val="auto"/>
        </w:rPr>
      </w:pPr>
    </w:p>
    <w:p>
      <w:pPr>
        <w:snapToGrid w:val="0"/>
        <w:spacing w:line="560" w:lineRule="exact"/>
        <w:ind w:left="0" w:firstLine="3840" w:firstLineChars="1200"/>
        <w:jc w:val="both"/>
        <w:rPr>
          <w:rFonts w:ascii="仿宋_GB2312" w:hAnsi="仿宋" w:eastAsia="仿宋_GB2312" w:cstheme="minorBidi"/>
          <w:color w:val="auto"/>
          <w:kern w:val="2"/>
          <w:sz w:val="32"/>
          <w:szCs w:val="32"/>
        </w:rPr>
      </w:pPr>
      <w:r>
        <w:rPr>
          <w:rFonts w:hint="eastAsia" w:ascii="仿宋_GB2312" w:hAnsi="仿宋" w:eastAsia="仿宋_GB2312" w:cstheme="minorBidi"/>
          <w:color w:val="auto"/>
          <w:kern w:val="2"/>
          <w:sz w:val="32"/>
          <w:szCs w:val="32"/>
        </w:rPr>
        <w:t xml:space="preserve">承诺企业（盖章）： </w:t>
      </w:r>
    </w:p>
    <w:p>
      <w:pPr>
        <w:snapToGrid w:val="0"/>
        <w:spacing w:line="560" w:lineRule="exact"/>
        <w:ind w:left="0" w:firstLine="3840" w:firstLineChars="1200"/>
        <w:jc w:val="both"/>
        <w:rPr>
          <w:rFonts w:ascii="仿宋_GB2312" w:hAnsi="仿宋" w:eastAsia="仿宋_GB2312" w:cstheme="minorBidi"/>
          <w:color w:val="auto"/>
          <w:kern w:val="2"/>
          <w:sz w:val="32"/>
          <w:szCs w:val="32"/>
        </w:rPr>
      </w:pPr>
      <w:r>
        <w:rPr>
          <w:rFonts w:hint="eastAsia" w:ascii="仿宋_GB2312" w:hAnsi="仿宋" w:eastAsia="仿宋_GB2312" w:cstheme="minorBidi"/>
          <w:color w:val="auto"/>
          <w:kern w:val="2"/>
          <w:sz w:val="32"/>
          <w:szCs w:val="32"/>
        </w:rPr>
        <w:t xml:space="preserve">法定代表人（签字或盖章）： </w:t>
      </w:r>
    </w:p>
    <w:p>
      <w:pPr>
        <w:snapToGrid w:val="0"/>
        <w:spacing w:line="560" w:lineRule="exact"/>
        <w:ind w:left="0" w:firstLine="3840" w:firstLineChars="1200"/>
        <w:jc w:val="both"/>
        <w:rPr>
          <w:rFonts w:ascii="仿宋_GB2312" w:hAnsi="仿宋" w:eastAsia="仿宋_GB2312" w:cstheme="minorBidi"/>
          <w:color w:val="auto"/>
          <w:kern w:val="2"/>
          <w:sz w:val="32"/>
          <w:szCs w:val="32"/>
        </w:rPr>
      </w:pPr>
      <w:r>
        <w:rPr>
          <w:rFonts w:hint="eastAsia" w:ascii="仿宋_GB2312" w:hAnsi="仿宋" w:eastAsia="仿宋_GB2312" w:cstheme="minorBidi"/>
          <w:color w:val="auto"/>
          <w:kern w:val="2"/>
          <w:sz w:val="32"/>
          <w:szCs w:val="32"/>
        </w:rPr>
        <w:t xml:space="preserve">被授权人（签字或盖章）： </w:t>
      </w:r>
    </w:p>
    <w:p>
      <w:pPr>
        <w:snapToGrid w:val="0"/>
        <w:spacing w:line="560" w:lineRule="exact"/>
        <w:ind w:left="0" w:firstLine="3840" w:firstLineChars="1200"/>
        <w:jc w:val="both"/>
        <w:rPr>
          <w:color w:val="auto"/>
        </w:rPr>
      </w:pPr>
      <w:r>
        <w:rPr>
          <w:rFonts w:hint="eastAsia" w:ascii="仿宋_GB2312" w:hAnsi="仿宋" w:eastAsia="仿宋_GB2312" w:cstheme="minorBidi"/>
          <w:color w:val="auto"/>
          <w:kern w:val="2"/>
          <w:sz w:val="32"/>
          <w:szCs w:val="32"/>
        </w:rPr>
        <w:t>日期： 年 月 日</w:t>
      </w:r>
    </w:p>
    <w:p>
      <w:pPr>
        <w:pStyle w:val="13"/>
        <w:spacing w:line="560" w:lineRule="exact"/>
        <w:jc w:val="both"/>
        <w:rPr>
          <w:color w:val="auto"/>
        </w:rPr>
      </w:pPr>
    </w:p>
    <w:p>
      <w:pPr>
        <w:spacing w:line="560" w:lineRule="exact"/>
        <w:jc w:val="both"/>
        <w:rPr>
          <w:rFonts w:ascii="黑体" w:hAnsi="黑体" w:eastAsia="黑体" w:cs="黑体"/>
          <w:color w:val="auto"/>
          <w:kern w:val="2"/>
          <w:szCs w:val="22"/>
        </w:rPr>
      </w:pPr>
      <w:bookmarkStart w:id="108" w:name="_Toc9013"/>
      <w:bookmarkStart w:id="109" w:name="_Toc17180"/>
      <w:bookmarkStart w:id="110" w:name="_Toc2912"/>
      <w:bookmarkStart w:id="111" w:name="_Toc61600707"/>
      <w:bookmarkStart w:id="112" w:name="_Toc22243"/>
      <w:r>
        <w:rPr>
          <w:rFonts w:hint="eastAsia" w:ascii="黑体" w:hAnsi="黑体" w:eastAsia="黑体" w:cs="黑体"/>
          <w:color w:val="auto"/>
          <w:kern w:val="2"/>
          <w:szCs w:val="22"/>
        </w:rPr>
        <w:br w:type="page"/>
      </w:r>
    </w:p>
    <w:p>
      <w:pPr>
        <w:pStyle w:val="3"/>
        <w:widowControl/>
        <w:spacing w:before="0" w:after="160" w:line="560" w:lineRule="exact"/>
        <w:ind w:left="0"/>
        <w:jc w:val="both"/>
        <w:rPr>
          <w:rFonts w:ascii="黑体" w:hAnsi="黑体" w:eastAsia="黑体" w:cs="黑体"/>
          <w:b w:val="0"/>
          <w:bCs w:val="0"/>
          <w:color w:val="auto"/>
          <w:kern w:val="2"/>
          <w:sz w:val="32"/>
          <w:szCs w:val="28"/>
        </w:rPr>
      </w:pPr>
      <w:bookmarkStart w:id="113" w:name="_Toc28187"/>
      <w:r>
        <w:rPr>
          <w:rFonts w:hint="eastAsia" w:ascii="黑体" w:hAnsi="黑体" w:eastAsia="黑体" w:cs="黑体"/>
          <w:b w:val="0"/>
          <w:bCs w:val="0"/>
          <w:color w:val="auto"/>
          <w:kern w:val="2"/>
          <w:sz w:val="32"/>
          <w:szCs w:val="28"/>
        </w:rPr>
        <w:t>附件2</w:t>
      </w:r>
      <w:bookmarkEnd w:id="108"/>
      <w:bookmarkEnd w:id="109"/>
      <w:bookmarkEnd w:id="110"/>
      <w:bookmarkEnd w:id="113"/>
    </w:p>
    <w:p>
      <w:pPr>
        <w:snapToGrid w:val="0"/>
        <w:spacing w:after="163" w:afterLines="50" w:line="560" w:lineRule="exact"/>
        <w:ind w:left="0"/>
        <w:jc w:val="both"/>
        <w:rPr>
          <w:rFonts w:ascii="仿宋_GB2312" w:hAnsi="仿宋" w:eastAsia="仿宋_GB2312" w:cs="宋体"/>
          <w:color w:val="auto"/>
          <w:kern w:val="2"/>
          <w:sz w:val="32"/>
          <w:szCs w:val="32"/>
        </w:rPr>
      </w:pPr>
      <w:bookmarkStart w:id="114" w:name="_Toc9975"/>
      <w:bookmarkStart w:id="115" w:name="_Toc5568"/>
      <w:bookmarkStart w:id="116" w:name="_Toc6949"/>
      <w:bookmarkStart w:id="117" w:name="_Toc16642"/>
      <w:bookmarkStart w:id="118" w:name="_Toc19073"/>
      <w:r>
        <w:rPr>
          <w:rFonts w:hint="eastAsia" w:ascii="仿宋_GB2312" w:hAnsi="仿宋" w:eastAsia="仿宋_GB2312" w:cs="宋体"/>
          <w:color w:val="auto"/>
          <w:kern w:val="2"/>
          <w:sz w:val="32"/>
          <w:szCs w:val="32"/>
        </w:rPr>
        <w:t>合同编号：</w:t>
      </w:r>
    </w:p>
    <w:p>
      <w:pPr>
        <w:spacing w:after="163" w:afterLines="50" w:line="560" w:lineRule="exact"/>
        <w:ind w:left="0"/>
        <w:jc w:val="center"/>
        <w:outlineLvl w:val="0"/>
        <w:rPr>
          <w:rFonts w:ascii="方正小标宋简体" w:hAnsi="方正小标宋简体" w:eastAsia="方正小标宋简体" w:cs="方正小标宋简体"/>
          <w:color w:val="auto"/>
          <w:kern w:val="2"/>
          <w:sz w:val="44"/>
          <w:szCs w:val="44"/>
        </w:rPr>
      </w:pPr>
      <w:r>
        <w:rPr>
          <w:rFonts w:hint="eastAsia" w:ascii="方正小标宋简体" w:hAnsi="方正小标宋简体" w:eastAsia="方正小标宋简体" w:cs="方正小标宋简体"/>
          <w:color w:val="auto"/>
          <w:kern w:val="2"/>
          <w:sz w:val="44"/>
          <w:szCs w:val="44"/>
        </w:rPr>
        <w:t>医疗机构医用耗材价格优势专区采购合同</w:t>
      </w:r>
    </w:p>
    <w:p>
      <w:pPr>
        <w:snapToGrid w:val="0"/>
        <w:spacing w:line="560" w:lineRule="exact"/>
        <w:ind w:left="0"/>
        <w:jc w:val="both"/>
        <w:rPr>
          <w:rFonts w:ascii="仿宋_GB2312" w:hAnsi="仿宋" w:eastAsia="仿宋_GB2312" w:cs="宋体"/>
          <w:color w:val="auto"/>
          <w:kern w:val="2"/>
          <w:sz w:val="32"/>
          <w:szCs w:val="32"/>
        </w:rPr>
      </w:pPr>
    </w:p>
    <w:p>
      <w:pPr>
        <w:snapToGrid w:val="0"/>
        <w:spacing w:line="560" w:lineRule="exact"/>
        <w:ind w:left="0" w:firstLine="640" w:firstLineChars="200"/>
        <w:jc w:val="both"/>
        <w:rPr>
          <w:rFonts w:ascii="仿宋_GB2312" w:hAnsi="仿宋" w:eastAsia="仿宋_GB2312" w:cs="宋体"/>
          <w:color w:val="auto"/>
          <w:kern w:val="2"/>
          <w:sz w:val="32"/>
          <w:szCs w:val="32"/>
        </w:rPr>
      </w:pPr>
      <w:r>
        <w:rPr>
          <w:rFonts w:hint="eastAsia" w:ascii="仿宋_GB2312" w:hAnsi="仿宋" w:eastAsia="仿宋_GB2312" w:cs="宋体"/>
          <w:color w:val="auto"/>
          <w:kern w:val="2"/>
          <w:sz w:val="32"/>
          <w:szCs w:val="32"/>
        </w:rPr>
        <w:t>甲方（医疗机构）：</w:t>
      </w:r>
    </w:p>
    <w:p>
      <w:pPr>
        <w:snapToGrid w:val="0"/>
        <w:spacing w:line="560" w:lineRule="exact"/>
        <w:ind w:left="0" w:firstLine="640" w:firstLineChars="200"/>
        <w:jc w:val="both"/>
        <w:rPr>
          <w:rFonts w:ascii="仿宋_GB2312" w:hAnsi="仿宋" w:eastAsia="仿宋_GB2312" w:cs="宋体"/>
          <w:color w:val="auto"/>
          <w:kern w:val="2"/>
          <w:sz w:val="32"/>
          <w:szCs w:val="32"/>
        </w:rPr>
      </w:pPr>
      <w:r>
        <w:rPr>
          <w:rFonts w:hint="eastAsia" w:ascii="仿宋_GB2312" w:hAnsi="仿宋" w:eastAsia="仿宋_GB2312" w:cs="宋体"/>
          <w:color w:val="auto"/>
          <w:kern w:val="2"/>
          <w:sz w:val="32"/>
          <w:szCs w:val="32"/>
        </w:rPr>
        <w:t>乙方（生产企业）：</w:t>
      </w:r>
    </w:p>
    <w:p>
      <w:pPr>
        <w:snapToGrid w:val="0"/>
        <w:spacing w:line="560" w:lineRule="exact"/>
        <w:ind w:left="0" w:firstLine="640" w:firstLineChars="200"/>
        <w:jc w:val="both"/>
        <w:rPr>
          <w:rFonts w:ascii="仿宋_GB2312" w:hAnsi="仿宋" w:eastAsia="仿宋_GB2312" w:cs="宋体"/>
          <w:color w:val="auto"/>
          <w:kern w:val="2"/>
          <w:sz w:val="32"/>
          <w:szCs w:val="32"/>
        </w:rPr>
      </w:pPr>
      <w:r>
        <w:rPr>
          <w:rFonts w:hint="eastAsia" w:ascii="仿宋_GB2312" w:hAnsi="仿宋" w:eastAsia="仿宋_GB2312" w:cs="宋体"/>
          <w:color w:val="auto"/>
          <w:kern w:val="2"/>
          <w:sz w:val="32"/>
          <w:szCs w:val="32"/>
        </w:rPr>
        <w:t>丙方（配送企业）：</w:t>
      </w:r>
    </w:p>
    <w:p>
      <w:pPr>
        <w:spacing w:line="560" w:lineRule="exact"/>
        <w:ind w:firstLine="600" w:firstLineChars="200"/>
        <w:jc w:val="both"/>
        <w:rPr>
          <w:rFonts w:ascii="仿宋_GB2312" w:hAnsi="Calibri" w:eastAsia="仿宋_GB2312"/>
          <w:color w:val="auto"/>
          <w:sz w:val="30"/>
          <w:szCs w:val="30"/>
        </w:rPr>
      </w:pP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根据《医疗器械监督管理条例》《广东省医疗保障局关于做好药品和医用耗材采购工作的指导意见》（粤医保规〔2020〕2号）、《深圳市推进公立医疗机构医用耗材阳光交易工作实施方案》（深治耗办〔2020〕1 号）及《深圳市医疗保障局关于进一步完善医用耗材分类集中采购支持深圳阳光平台开展价格谈判的通知》（深医保规〔2021〕6 号，以下简称6号规）等文件精神和工作要求，在医用耗材阳光采购活动中，本着平等互利的原则，经甲乙丙三方协商一致，签订本合同。 </w:t>
      </w:r>
    </w:p>
    <w:p>
      <w:pPr>
        <w:spacing w:line="560" w:lineRule="exact"/>
        <w:ind w:left="0" w:firstLine="640" w:firstLineChars="200"/>
        <w:jc w:val="both"/>
        <w:outlineLvl w:val="0"/>
        <w:rPr>
          <w:rFonts w:ascii="黑体" w:hAnsi="黑体" w:eastAsia="黑体" w:cs="黑体"/>
          <w:color w:val="auto"/>
          <w:kern w:val="2"/>
          <w:sz w:val="32"/>
          <w:szCs w:val="32"/>
        </w:rPr>
      </w:pPr>
      <w:r>
        <w:rPr>
          <w:rFonts w:hint="eastAsia" w:ascii="黑体" w:hAnsi="黑体" w:eastAsia="黑体" w:cs="黑体"/>
          <w:color w:val="auto"/>
          <w:kern w:val="2"/>
          <w:sz w:val="32"/>
          <w:szCs w:val="32"/>
        </w:rPr>
        <w:t>第一条 总则</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1.甲方为依法设立的医疗机构，通过深圳医用耗材阳光交易和监管平台（以下简称深圳阳光平台）采购医用耗材，并按规定进行医用耗材产品验收、按约定进行交易价款结算。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2.乙方为依法设立的医用耗材生产企业【进口产品全国总代理资格的企业视为生产企业】，保证在合同履行期间符合从事医疗器械生产活动的法定条件，严格遵守签署的《承诺函》，负责在深圳阳光平台申报产品、供应医用耗材至配送企业等工作，并按国家、省、市有关规定，及时提供采购交易所需的票据、单据。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3.丙方为依法设立的医用耗材经营、配送企业，保证在合同履行期间符合从事医疗器械经营、运输活动的法定条件，按深圳阳光平台的订单要求及甲方的配送时限要求按时将乙方的医用耗材配送至甲方指定地点，并按国家、省、市有关规定，及时提供相应的票据、单据。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4.甲乙丙三方承诺按有关规定和相关承诺在深圳阳光平台开展医用耗材阳光交易活动。 </w:t>
      </w:r>
    </w:p>
    <w:p>
      <w:pPr>
        <w:spacing w:line="560" w:lineRule="exact"/>
        <w:ind w:left="0" w:firstLine="640" w:firstLineChars="200"/>
        <w:jc w:val="both"/>
        <w:outlineLvl w:val="0"/>
        <w:rPr>
          <w:rFonts w:ascii="黑体" w:hAnsi="黑体" w:eastAsia="黑体" w:cs="黑体"/>
          <w:color w:val="auto"/>
          <w:kern w:val="2"/>
          <w:sz w:val="32"/>
          <w:szCs w:val="32"/>
        </w:rPr>
      </w:pPr>
      <w:r>
        <w:rPr>
          <w:rFonts w:hint="eastAsia" w:ascii="黑体" w:hAnsi="黑体" w:eastAsia="黑体" w:cs="黑体"/>
          <w:color w:val="auto"/>
          <w:kern w:val="2"/>
          <w:sz w:val="32"/>
          <w:szCs w:val="32"/>
        </w:rPr>
        <w:t xml:space="preserve">第二条 合同标的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eastAsia="仿宋_GB2312" w:hAnsiTheme="minorHAnsi" w:cstheme="minorBidi"/>
          <w:color w:val="auto"/>
          <w:kern w:val="2"/>
          <w:sz w:val="32"/>
          <w:szCs w:val="32"/>
        </w:rPr>
        <w:t>深圳阳光平台价格优势专区挂网产品的名称、注册证、规格、包装规格、中选价格、生产企业等见合同明细</w:t>
      </w:r>
      <w:r>
        <w:rPr>
          <w:rFonts w:hint="eastAsia" w:ascii="仿宋_GB2312" w:hAnsi="Calibri" w:eastAsia="仿宋_GB2312" w:cs="宋体"/>
          <w:color w:val="auto"/>
          <w:kern w:val="2"/>
          <w:sz w:val="32"/>
          <w:szCs w:val="32"/>
        </w:rPr>
        <w:t>。</w:t>
      </w:r>
    </w:p>
    <w:p>
      <w:pPr>
        <w:spacing w:line="560" w:lineRule="exact"/>
        <w:ind w:left="0" w:firstLine="640" w:firstLineChars="200"/>
        <w:jc w:val="both"/>
        <w:outlineLvl w:val="0"/>
        <w:rPr>
          <w:rFonts w:ascii="黑体" w:hAnsi="黑体" w:eastAsia="黑体" w:cs="黑体"/>
          <w:color w:val="auto"/>
          <w:kern w:val="2"/>
          <w:sz w:val="32"/>
          <w:szCs w:val="32"/>
        </w:rPr>
      </w:pPr>
      <w:r>
        <w:rPr>
          <w:rFonts w:hint="eastAsia" w:ascii="黑体" w:hAnsi="黑体" w:eastAsia="黑体" w:cs="黑体"/>
          <w:color w:val="auto"/>
          <w:kern w:val="2"/>
          <w:sz w:val="32"/>
          <w:szCs w:val="32"/>
        </w:rPr>
        <w:t xml:space="preserve">第三条 供货要求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1.乙方、丙方向甲方供应的医用耗材必须符合国家的质量标准和有关要求，相关资质证照齐备、有效并符合国家、省、市有关医疗器械管理规定，出具的发票为符合国家税法规定的正规、有效税务发票。按约定及时保质保量供货、不延误医疗机构临床医疗工作。急诊或急救医用耗材应保证及时供货，确保临床医疗安全。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2.乙方、丙方供应的全部医用耗材应按国家标准及保护措施进行生产、包装、存储、运输等，以防止医用耗材在配送过程中损坏或变质，确保医用耗材按时足量、安全无损运抵交货地点。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3.甲方有权要求乙方、丙方提供其与交易有关的证明文件。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4.乙方、丙方医用耗材生产/配送过程必须符合国家及地方医用耗材生产/配送相关规定。 </w:t>
      </w:r>
    </w:p>
    <w:p>
      <w:pPr>
        <w:spacing w:line="560" w:lineRule="exact"/>
        <w:ind w:left="0" w:firstLine="640" w:firstLineChars="200"/>
        <w:jc w:val="both"/>
        <w:outlineLvl w:val="0"/>
        <w:rPr>
          <w:rFonts w:ascii="黑体" w:hAnsi="黑体" w:eastAsia="黑体" w:cs="黑体"/>
          <w:color w:val="auto"/>
          <w:kern w:val="2"/>
          <w:sz w:val="32"/>
          <w:szCs w:val="32"/>
        </w:rPr>
      </w:pPr>
      <w:r>
        <w:rPr>
          <w:rFonts w:hint="eastAsia" w:ascii="黑体" w:hAnsi="黑体" w:eastAsia="黑体" w:cs="黑体"/>
          <w:color w:val="auto"/>
          <w:kern w:val="2"/>
          <w:sz w:val="32"/>
          <w:szCs w:val="32"/>
        </w:rPr>
        <w:t xml:space="preserve">第四条 订货与交货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1.本合同签订后，甲方在合同有效期内原则上按月或季度拟定采购计划向丙方采购医用耗材。丙方应提前做好产品备货，保障供应。</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2.乙方是保障医用耗材质量和供应的第一责任人。乙方应保证在规定时间内生产并足量保质供应医用耗材，对丙方的配送供应行为负责，并承担连带责任。乙方承担连带责任后，可以依法就丙方的过错进行追偿。丙方对甲方、乙方负责，确保医用耗材在规定时间内、足量保质配送至甲方。按6号规要求，一般产品24小时内送达，最长不超过48小时（含节假日），急用产品4小时内送达。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3.丙方配送医用耗材的品种、规格、型号、材质、交易价格、数量、包装单位等必须严格按照甲方通过深圳阳光平台发送的订单执行。 </w:t>
      </w:r>
    </w:p>
    <w:p>
      <w:pPr>
        <w:spacing w:line="560" w:lineRule="exact"/>
        <w:ind w:left="0" w:firstLine="640" w:firstLineChars="200"/>
        <w:jc w:val="both"/>
        <w:outlineLvl w:val="0"/>
        <w:rPr>
          <w:rFonts w:ascii="黑体" w:hAnsi="黑体" w:eastAsia="黑体" w:cs="黑体"/>
          <w:color w:val="auto"/>
          <w:kern w:val="2"/>
          <w:sz w:val="32"/>
          <w:szCs w:val="32"/>
        </w:rPr>
      </w:pPr>
      <w:r>
        <w:rPr>
          <w:rFonts w:hint="eastAsia" w:ascii="黑体" w:hAnsi="黑体" w:eastAsia="黑体" w:cs="黑体"/>
          <w:color w:val="auto"/>
          <w:kern w:val="2"/>
          <w:sz w:val="32"/>
          <w:szCs w:val="32"/>
        </w:rPr>
        <w:t xml:space="preserve">第五条 产品验收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1.医用耗材验收按照国家、省、市有关法律法规和医用耗材验收有关规定执行。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2.验收合格的，甲方应在深圳阳光平台上予以确认收货。丙方依照程序配合甲方、平台及时提供票据（发票等）或票据信息。验收不合格的，乙方及丙方应及时更换医用耗材直至确保验收合格临床可用并承担相应费用，不得影响甲方的临床使用。产品经更换仍无法通过验收的，甲方视临床需求有权单方终止该医用耗材的继续采购，退回剩余医用耗材，由此造成的所有损失由乙方和丙方承担。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3.验收通过未使用的医用耗材，在甲丙双方协商一致情况下，甲方可以进行退货处理。 </w:t>
      </w:r>
    </w:p>
    <w:p>
      <w:pPr>
        <w:spacing w:line="560" w:lineRule="exact"/>
        <w:ind w:left="0" w:firstLine="640" w:firstLineChars="200"/>
        <w:jc w:val="both"/>
        <w:outlineLvl w:val="0"/>
        <w:rPr>
          <w:rFonts w:ascii="黑体" w:hAnsi="黑体" w:eastAsia="黑体" w:cs="黑体"/>
          <w:color w:val="auto"/>
          <w:kern w:val="2"/>
          <w:sz w:val="32"/>
          <w:szCs w:val="32"/>
        </w:rPr>
      </w:pPr>
      <w:r>
        <w:rPr>
          <w:rFonts w:hint="eastAsia" w:ascii="黑体" w:hAnsi="黑体" w:eastAsia="黑体" w:cs="黑体"/>
          <w:color w:val="auto"/>
          <w:kern w:val="2"/>
          <w:sz w:val="32"/>
          <w:szCs w:val="32"/>
        </w:rPr>
        <w:t xml:space="preserve">第六条 交易价款结算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1.交易价格：按深圳阳光平台订单的交易价格执行，该价格包含成本、运输、包装、伴随服务、税费及其他一切附加费用。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2.本合同履行期间，因政策性调价、限价等原因致医用耗材的价格需要调整的，甲乙双方按照相关政策规定执行或者自行协商确定。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3.价款支付：甲方应按国家、省、市规定的医用耗材货款结算时限通过深圳阳光平台集中结算监管账户及时支付货款。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4.其他与交易价款结算有关的事项，按国家、省、市和深圳阳光平台有关规则执行。 </w:t>
      </w:r>
    </w:p>
    <w:p>
      <w:pPr>
        <w:spacing w:line="560" w:lineRule="exact"/>
        <w:ind w:left="0" w:firstLine="640" w:firstLineChars="200"/>
        <w:jc w:val="both"/>
        <w:outlineLvl w:val="0"/>
        <w:rPr>
          <w:rFonts w:ascii="黑体" w:hAnsi="黑体" w:eastAsia="黑体" w:cs="黑体"/>
          <w:color w:val="auto"/>
          <w:kern w:val="2"/>
          <w:sz w:val="32"/>
          <w:szCs w:val="32"/>
        </w:rPr>
      </w:pPr>
      <w:r>
        <w:rPr>
          <w:rFonts w:hint="eastAsia" w:ascii="黑体" w:hAnsi="黑体" w:eastAsia="黑体" w:cs="黑体"/>
          <w:color w:val="auto"/>
          <w:kern w:val="2"/>
          <w:sz w:val="32"/>
          <w:szCs w:val="32"/>
        </w:rPr>
        <w:t xml:space="preserve">第七条 甲方的违约责任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甲方如出现下列行为，应按照规定承担违约责任 ：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1.甲方无正当理由拒绝接收丙方配送的医用耗材。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2.甲方无正当理由未按照本合同标的内容完成采购。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3.甲方无正当理由未按照本合同约定期限和方式完成交易价款结算。 </w:t>
      </w:r>
    </w:p>
    <w:p>
      <w:pPr>
        <w:spacing w:line="560" w:lineRule="exact"/>
        <w:ind w:left="0" w:firstLine="640" w:firstLineChars="200"/>
        <w:jc w:val="both"/>
        <w:rPr>
          <w:rFonts w:ascii="仿宋_GB2312" w:hAnsi="inherit" w:eastAsia="仿宋_GB2312" w:cs="宋体"/>
          <w:color w:val="auto"/>
          <w:sz w:val="32"/>
          <w:szCs w:val="32"/>
        </w:rPr>
      </w:pPr>
      <w:r>
        <w:rPr>
          <w:rFonts w:hint="eastAsia" w:ascii="仿宋_GB2312" w:hAnsi="Calibri" w:eastAsia="仿宋_GB2312" w:cs="宋体"/>
          <w:color w:val="auto"/>
          <w:kern w:val="2"/>
          <w:sz w:val="32"/>
          <w:szCs w:val="32"/>
        </w:rPr>
        <w:t>4.其他违反本合同约定的行为。</w:t>
      </w:r>
      <w:r>
        <w:rPr>
          <w:rFonts w:hint="eastAsia" w:ascii="仿宋_GB2312" w:hAnsi="inherit" w:eastAsia="仿宋_GB2312" w:cs="宋体"/>
          <w:color w:val="auto"/>
          <w:sz w:val="32"/>
          <w:szCs w:val="32"/>
        </w:rPr>
        <w:t xml:space="preserve"> </w:t>
      </w:r>
    </w:p>
    <w:p>
      <w:pPr>
        <w:spacing w:line="560" w:lineRule="exact"/>
        <w:ind w:left="0" w:firstLine="640" w:firstLineChars="200"/>
        <w:jc w:val="both"/>
        <w:outlineLvl w:val="0"/>
        <w:rPr>
          <w:rFonts w:ascii="黑体" w:hAnsi="黑体" w:eastAsia="黑体" w:cs="黑体"/>
          <w:color w:val="auto"/>
          <w:kern w:val="2"/>
          <w:sz w:val="32"/>
          <w:szCs w:val="32"/>
        </w:rPr>
      </w:pPr>
      <w:r>
        <w:rPr>
          <w:rFonts w:hint="eastAsia" w:ascii="黑体" w:hAnsi="黑体" w:eastAsia="黑体" w:cs="黑体"/>
          <w:color w:val="auto"/>
          <w:kern w:val="2"/>
          <w:sz w:val="32"/>
          <w:szCs w:val="32"/>
        </w:rPr>
        <w:t xml:space="preserve">第八条 乙方和丙方的违约责任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乙方、丙方如出现下列行为，应按照规定承担违约责任：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1.乙方或者丙方在合同履行期间未取得有效的医疗器械生产或者经营等资质证明。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2.所供货医用耗材不符合国家的质量标准和有关要求、不符合本合同约定的质量标准。</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3.违反本合同关于供货时限和数量的约定或拒绝供货。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4.其他违反本合同约定的行为。 </w:t>
      </w:r>
    </w:p>
    <w:p>
      <w:pPr>
        <w:spacing w:line="560" w:lineRule="exact"/>
        <w:ind w:left="0" w:firstLine="640" w:firstLineChars="200"/>
        <w:jc w:val="both"/>
        <w:outlineLvl w:val="0"/>
        <w:rPr>
          <w:rFonts w:ascii="黑体" w:hAnsi="黑体" w:eastAsia="黑体" w:cs="黑体"/>
          <w:color w:val="auto"/>
          <w:kern w:val="2"/>
          <w:sz w:val="32"/>
          <w:szCs w:val="32"/>
        </w:rPr>
      </w:pPr>
      <w:r>
        <w:rPr>
          <w:rFonts w:hint="eastAsia" w:ascii="黑体" w:hAnsi="黑体" w:eastAsia="黑体" w:cs="黑体"/>
          <w:color w:val="auto"/>
          <w:kern w:val="2"/>
          <w:sz w:val="32"/>
          <w:szCs w:val="32"/>
        </w:rPr>
        <w:t xml:space="preserve">第九条 不可抗力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1.合同当事人因不可抗力或者意外事件，使得本合同的履行不可能、不必要或实施延误的，不承担误期赔偿或终止合同的责任。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2.遭受不可抗力、意外事件的一方全部或部分不能履行本合同、解除或迟延履行本合同的，应及时将事件情况以书面形式通知另两方并向另两方提交相应的证明。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3.除另行要求外，合同当事人应尽实际可能继续履行合同义务，以及寻求采取合理的方案履行不受不可抗力影响的其他事项。不可抗力事件影响消除后，合同当事人可通过协商在合理的时间内达成进一步履行合同的协议。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4.本合同所称不可抗力、意外事件是指不能预见、不能克服并不能避免且对某方当事人造成重大影响的客观事件，包括但不限于自然灾害如洪水、地震、火灾和风暴等以及社会事件如战争、动乱等，但不包括合同某一方的违约或疏忽。 </w:t>
      </w:r>
    </w:p>
    <w:p>
      <w:pPr>
        <w:spacing w:line="560" w:lineRule="exact"/>
        <w:ind w:left="0" w:firstLine="640" w:firstLineChars="200"/>
        <w:jc w:val="both"/>
        <w:outlineLvl w:val="0"/>
        <w:rPr>
          <w:rFonts w:ascii="黑体" w:hAnsi="黑体" w:eastAsia="黑体" w:cs="黑体"/>
          <w:color w:val="auto"/>
          <w:kern w:val="2"/>
          <w:sz w:val="32"/>
          <w:szCs w:val="32"/>
        </w:rPr>
      </w:pPr>
      <w:r>
        <w:rPr>
          <w:rFonts w:hint="eastAsia" w:ascii="黑体" w:hAnsi="黑体" w:eastAsia="黑体" w:cs="黑体"/>
          <w:color w:val="auto"/>
          <w:kern w:val="2"/>
          <w:sz w:val="32"/>
          <w:szCs w:val="32"/>
        </w:rPr>
        <w:t xml:space="preserve">第十条 合同的解除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有下列情形之一的，当事人可以解除本合同：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1.甲乙丙三方协商一致。</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2.因不可抗力、政府政策调整致使合同履行不能实现合同目的。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3.任何一方明确表示或者以行为表明不履行本合同主要义务。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4.任何一方迟延履行本合同主要义务，经他方催告后在合理期限内仍未履行。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5.任何一方有其他严重违约行为致使不能实现本合同目的。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6.法律规定的其他情形。 </w:t>
      </w:r>
    </w:p>
    <w:p>
      <w:pPr>
        <w:spacing w:line="560" w:lineRule="exact"/>
        <w:ind w:left="0" w:firstLine="640" w:firstLineChars="200"/>
        <w:jc w:val="both"/>
        <w:outlineLvl w:val="0"/>
        <w:rPr>
          <w:rFonts w:ascii="黑体" w:hAnsi="黑体" w:eastAsia="黑体" w:cs="黑体"/>
          <w:color w:val="auto"/>
          <w:kern w:val="2"/>
          <w:sz w:val="32"/>
          <w:szCs w:val="32"/>
        </w:rPr>
      </w:pPr>
      <w:r>
        <w:rPr>
          <w:rFonts w:hint="eastAsia" w:ascii="黑体" w:hAnsi="黑体" w:eastAsia="黑体" w:cs="黑体"/>
          <w:color w:val="auto"/>
          <w:kern w:val="2"/>
          <w:sz w:val="32"/>
          <w:szCs w:val="32"/>
        </w:rPr>
        <w:t xml:space="preserve">第十一条 争议的解决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1.本合同的订立、解释、履行、解除等均适用中华人民共和国法律。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2.因履行本合同发生争议，由争议各方协商解决，协商不成的，任何一方均有权依法向甲方所在地有管辖权的人民法院提起诉讼。 </w:t>
      </w:r>
    </w:p>
    <w:p>
      <w:pPr>
        <w:spacing w:line="560" w:lineRule="exact"/>
        <w:ind w:left="0" w:firstLine="640" w:firstLineChars="200"/>
        <w:jc w:val="both"/>
        <w:outlineLvl w:val="0"/>
        <w:rPr>
          <w:rFonts w:ascii="黑体" w:hAnsi="黑体" w:eastAsia="黑体" w:cs="黑体"/>
          <w:color w:val="auto"/>
          <w:kern w:val="2"/>
          <w:sz w:val="32"/>
          <w:szCs w:val="32"/>
        </w:rPr>
      </w:pPr>
      <w:r>
        <w:rPr>
          <w:rFonts w:hint="eastAsia" w:ascii="黑体" w:hAnsi="黑体" w:eastAsia="黑体" w:cs="黑体"/>
          <w:color w:val="auto"/>
          <w:kern w:val="2"/>
          <w:sz w:val="32"/>
          <w:szCs w:val="32"/>
        </w:rPr>
        <w:t xml:space="preserve">第十二条 其他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1.各方对在本合同签订及履行过程中所获得的另外两方的任何商业信息负有保密义务，该义务在本合同终止后继续有效。因信息泄露造成的后果，由泄露方承担全部责任并赔偿所有相关损失。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2.签署本合同为各方自愿、平等协商的真实意思表示,应经过各方的内部授权或者审批。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3.通过深圳阳光平台完成的采购订单为本合同的组成部分。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4.本合同未尽事项，在与法律、法规等规定、交易规则及本合同内容不冲突的前提下，各方可另行签订补充协议。经各方签字盖章的补充协议与本合同具有同等法律效力。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 xml:space="preserve">5.各方可自行协商签署廉洁协议，作为本合同的组成部分，与本合同一并执行，经相关方签字盖章后与本合同具有同等法律效力。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6.本合同自甲乙丙三方在深圳阳光平台进行电子签章后生效，</w:t>
      </w:r>
      <w:r>
        <w:rPr>
          <w:rFonts w:hint="eastAsia" w:ascii="仿宋_GB2312" w:eastAsia="仿宋_GB2312" w:hAnsiTheme="minorHAnsi" w:cstheme="minorBidi"/>
          <w:color w:val="auto"/>
          <w:kern w:val="2"/>
          <w:sz w:val="32"/>
          <w:szCs w:val="32"/>
        </w:rPr>
        <w:t>有效期按项目采购文件有关规定执行</w:t>
      </w:r>
      <w:r>
        <w:rPr>
          <w:rFonts w:hint="eastAsia" w:ascii="仿宋_GB2312" w:hAnsi="Calibri" w:eastAsia="仿宋_GB2312" w:cs="宋体"/>
          <w:color w:val="auto"/>
          <w:kern w:val="2"/>
          <w:sz w:val="32"/>
          <w:szCs w:val="32"/>
        </w:rPr>
        <w:t xml:space="preserve">。 </w:t>
      </w:r>
    </w:p>
    <w:p>
      <w:pPr>
        <w:spacing w:line="560" w:lineRule="exact"/>
        <w:ind w:left="0" w:firstLine="640" w:firstLineChars="200"/>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t>7.深圳医疗机构医用耗材阳光交易实施过程中，如遇国家、省、市相关管理部门有新规定的，则从其规定执行。</w:t>
      </w:r>
    </w:p>
    <w:p>
      <w:pPr>
        <w:spacing w:line="560" w:lineRule="exact"/>
        <w:jc w:val="both"/>
        <w:rPr>
          <w:rFonts w:ascii="仿宋_GB2312" w:hAnsi="Calibri" w:eastAsia="仿宋_GB2312" w:cs="宋体"/>
          <w:color w:val="auto"/>
          <w:kern w:val="2"/>
          <w:sz w:val="32"/>
          <w:szCs w:val="32"/>
        </w:rPr>
      </w:pPr>
      <w:r>
        <w:rPr>
          <w:rFonts w:hint="eastAsia" w:ascii="仿宋_GB2312" w:hAnsi="Calibri" w:eastAsia="仿宋_GB2312" w:cs="宋体"/>
          <w:color w:val="auto"/>
          <w:kern w:val="2"/>
          <w:sz w:val="32"/>
          <w:szCs w:val="32"/>
        </w:rPr>
        <w:br w:type="page"/>
      </w:r>
    </w:p>
    <w:p>
      <w:pPr>
        <w:pStyle w:val="4"/>
        <w:numPr>
          <w:ilvl w:val="1"/>
          <w:numId w:val="0"/>
        </w:numPr>
        <w:spacing w:before="0" w:after="160" w:line="580" w:lineRule="exact"/>
        <w:rPr>
          <w:rFonts w:ascii="仿宋_GB2312" w:hAnsi="仿宋" w:eastAsia="仿宋_GB2312" w:cs="宋体"/>
          <w:b w:val="0"/>
          <w:color w:val="auto"/>
          <w:kern w:val="2"/>
          <w:szCs w:val="32"/>
        </w:rPr>
      </w:pPr>
      <w:r>
        <w:rPr>
          <w:rFonts w:hint="eastAsia" w:ascii="仿宋_GB2312" w:hAnsi="仿宋" w:eastAsia="仿宋_GB2312" w:cs="宋体"/>
          <w:b w:val="0"/>
          <w:color w:val="auto"/>
          <w:kern w:val="2"/>
          <w:szCs w:val="32"/>
        </w:rPr>
        <w:t>合同附件</w:t>
      </w:r>
    </w:p>
    <w:p>
      <w:pPr>
        <w:spacing w:line="240" w:lineRule="auto"/>
        <w:jc w:val="center"/>
        <w:rPr>
          <w:rFonts w:ascii="楷体_GB2312" w:eastAsia="楷体_GB2312"/>
          <w:color w:val="auto"/>
          <w:sz w:val="32"/>
          <w:szCs w:val="32"/>
        </w:rPr>
      </w:pPr>
      <w:r>
        <w:rPr>
          <w:rFonts w:hint="eastAsia" w:ascii="仿宋_GB2312" w:hAnsi="仿宋_GB2312" w:eastAsia="仿宋_GB2312" w:cs="仿宋_GB2312"/>
          <w:color w:val="auto"/>
          <w:sz w:val="32"/>
          <w:szCs w:val="32"/>
          <w:lang w:eastAsia="zh-CN"/>
        </w:rPr>
        <w:t>泌尿介入导丝等五类医用耗材</w:t>
      </w:r>
      <w:r>
        <w:rPr>
          <w:rFonts w:hint="eastAsia" w:ascii="仿宋_GB2312" w:hAnsi="仿宋_GB2312" w:eastAsia="仿宋_GB2312" w:cs="仿宋_GB2312"/>
          <w:color w:val="auto"/>
          <w:sz w:val="32"/>
          <w:szCs w:val="32"/>
        </w:rPr>
        <w:t>采购明细表</w:t>
      </w:r>
    </w:p>
    <w:tbl>
      <w:tblPr>
        <w:tblStyle w:val="22"/>
        <w:tblpPr w:leftFromText="180" w:rightFromText="180" w:vertAnchor="text" w:horzAnchor="page" w:tblpX="1711" w:tblpY="505"/>
        <w:tblOverlap w:val="never"/>
        <w:tblW w:w="486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33"/>
        <w:gridCol w:w="1026"/>
        <w:gridCol w:w="1162"/>
        <w:gridCol w:w="1228"/>
        <w:gridCol w:w="1085"/>
        <w:gridCol w:w="1044"/>
        <w:gridCol w:w="1099"/>
        <w:gridCol w:w="11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85" w:type="pct"/>
          </w:tcPr>
          <w:p>
            <w:pPr>
              <w:widowControl/>
              <w:spacing w:line="240" w:lineRule="auto"/>
              <w:ind w:left="0"/>
              <w:jc w:val="center"/>
              <w:textAlignment w:val="center"/>
              <w:rPr>
                <w:rFonts w:ascii="仿宋_GB2312" w:hAnsi="仿宋_GB2312" w:eastAsia="仿宋_GB2312" w:cs="仿宋_GB2312"/>
                <w:b/>
                <w:bCs/>
                <w:color w:val="auto"/>
                <w:sz w:val="18"/>
                <w:szCs w:val="18"/>
                <w:lang w:bidi="ar"/>
              </w:rPr>
            </w:pPr>
            <w:r>
              <w:rPr>
                <w:rFonts w:hint="eastAsia" w:ascii="仿宋_GB2312" w:hAnsi="仿宋_GB2312" w:eastAsia="仿宋_GB2312" w:cs="仿宋_GB2312"/>
                <w:b/>
                <w:bCs/>
                <w:color w:val="auto"/>
                <w:sz w:val="18"/>
                <w:szCs w:val="18"/>
                <w:lang w:bidi="ar"/>
              </w:rPr>
              <w:t>产品代码</w:t>
            </w:r>
          </w:p>
        </w:tc>
        <w:tc>
          <w:tcPr>
            <w:tcW w:w="581" w:type="pct"/>
          </w:tcPr>
          <w:p>
            <w:pPr>
              <w:widowControl/>
              <w:spacing w:line="240" w:lineRule="auto"/>
              <w:ind w:left="0"/>
              <w:jc w:val="center"/>
              <w:textAlignment w:val="center"/>
              <w:rPr>
                <w:rFonts w:ascii="仿宋_GB2312" w:hAnsi="仿宋_GB2312" w:eastAsia="仿宋_GB2312" w:cs="仿宋_GB2312"/>
                <w:b/>
                <w:bCs/>
                <w:color w:val="auto"/>
                <w:sz w:val="18"/>
                <w:szCs w:val="18"/>
                <w:lang w:bidi="ar"/>
              </w:rPr>
            </w:pPr>
            <w:r>
              <w:rPr>
                <w:rFonts w:hint="eastAsia" w:ascii="仿宋_GB2312" w:hAnsi="仿宋_GB2312" w:eastAsia="仿宋_GB2312" w:cs="仿宋_GB2312"/>
                <w:b/>
                <w:bCs/>
                <w:color w:val="auto"/>
                <w:sz w:val="18"/>
                <w:szCs w:val="18"/>
                <w:lang w:bidi="ar"/>
              </w:rPr>
              <w:t>注册证号</w:t>
            </w:r>
          </w:p>
        </w:tc>
        <w:tc>
          <w:tcPr>
            <w:tcW w:w="658" w:type="pct"/>
          </w:tcPr>
          <w:p>
            <w:pPr>
              <w:widowControl/>
              <w:spacing w:line="240" w:lineRule="auto"/>
              <w:ind w:left="0"/>
              <w:jc w:val="center"/>
              <w:textAlignment w:val="center"/>
              <w:rPr>
                <w:rFonts w:ascii="仿宋_GB2312" w:hAnsi="仿宋_GB2312" w:eastAsia="仿宋_GB2312" w:cs="仿宋_GB2312"/>
                <w:b/>
                <w:bCs/>
                <w:color w:val="auto"/>
                <w:sz w:val="18"/>
                <w:szCs w:val="18"/>
                <w:lang w:bidi="ar"/>
              </w:rPr>
            </w:pPr>
            <w:r>
              <w:rPr>
                <w:rFonts w:hint="eastAsia" w:ascii="仿宋_GB2312" w:hAnsi="仿宋_GB2312" w:eastAsia="仿宋_GB2312" w:cs="仿宋_GB2312"/>
                <w:b/>
                <w:bCs/>
                <w:color w:val="auto"/>
                <w:sz w:val="18"/>
                <w:szCs w:val="18"/>
                <w:lang w:bidi="ar"/>
              </w:rPr>
              <w:t>产品名称</w:t>
            </w:r>
          </w:p>
        </w:tc>
        <w:tc>
          <w:tcPr>
            <w:tcW w:w="695" w:type="pct"/>
          </w:tcPr>
          <w:p>
            <w:pPr>
              <w:widowControl/>
              <w:spacing w:line="240" w:lineRule="auto"/>
              <w:ind w:left="0"/>
              <w:jc w:val="center"/>
              <w:textAlignment w:val="center"/>
              <w:rPr>
                <w:rFonts w:ascii="仿宋_GB2312" w:hAnsi="仿宋_GB2312" w:eastAsia="仿宋_GB2312" w:cs="仿宋_GB2312"/>
                <w:b/>
                <w:bCs/>
                <w:color w:val="auto"/>
                <w:sz w:val="18"/>
                <w:szCs w:val="18"/>
                <w:lang w:bidi="ar"/>
              </w:rPr>
            </w:pPr>
            <w:r>
              <w:rPr>
                <w:rFonts w:hint="eastAsia" w:ascii="仿宋_GB2312" w:hAnsi="仿宋_GB2312" w:eastAsia="仿宋_GB2312" w:cs="仿宋_GB2312"/>
                <w:b/>
                <w:bCs/>
                <w:color w:val="auto"/>
                <w:sz w:val="18"/>
                <w:szCs w:val="18"/>
                <w:lang w:bidi="ar"/>
              </w:rPr>
              <w:t>规格型号</w:t>
            </w:r>
          </w:p>
        </w:tc>
        <w:tc>
          <w:tcPr>
            <w:tcW w:w="614" w:type="pct"/>
          </w:tcPr>
          <w:p>
            <w:pPr>
              <w:widowControl/>
              <w:spacing w:line="240" w:lineRule="auto"/>
              <w:ind w:left="0"/>
              <w:jc w:val="center"/>
              <w:textAlignment w:val="center"/>
              <w:rPr>
                <w:rFonts w:ascii="仿宋_GB2312" w:hAnsi="仿宋_GB2312" w:eastAsia="仿宋_GB2312" w:cs="仿宋_GB2312"/>
                <w:b/>
                <w:bCs/>
                <w:color w:val="auto"/>
                <w:sz w:val="18"/>
                <w:szCs w:val="18"/>
                <w:lang w:bidi="ar"/>
              </w:rPr>
            </w:pPr>
            <w:r>
              <w:rPr>
                <w:rFonts w:hint="eastAsia" w:ascii="仿宋_GB2312" w:hAnsi="仿宋_GB2312" w:eastAsia="仿宋_GB2312" w:cs="仿宋_GB2312"/>
                <w:b/>
                <w:bCs/>
                <w:color w:val="auto"/>
                <w:sz w:val="18"/>
                <w:szCs w:val="18"/>
                <w:lang w:bidi="ar"/>
              </w:rPr>
              <w:t>生产企业</w:t>
            </w:r>
          </w:p>
        </w:tc>
        <w:tc>
          <w:tcPr>
            <w:tcW w:w="591" w:type="pct"/>
          </w:tcPr>
          <w:p>
            <w:pPr>
              <w:widowControl/>
              <w:spacing w:line="240" w:lineRule="auto"/>
              <w:ind w:left="0"/>
              <w:jc w:val="center"/>
              <w:textAlignment w:val="center"/>
              <w:rPr>
                <w:rFonts w:ascii="仿宋_GB2312" w:hAnsi="仿宋_GB2312" w:eastAsia="仿宋_GB2312" w:cs="仿宋_GB2312"/>
                <w:b/>
                <w:bCs/>
                <w:color w:val="auto"/>
                <w:sz w:val="18"/>
                <w:szCs w:val="18"/>
                <w:lang w:bidi="ar"/>
              </w:rPr>
            </w:pPr>
            <w:r>
              <w:rPr>
                <w:rFonts w:hint="eastAsia" w:ascii="仿宋_GB2312" w:hAnsi="仿宋_GB2312" w:eastAsia="仿宋_GB2312" w:cs="仿宋_GB2312"/>
                <w:b/>
                <w:bCs/>
                <w:color w:val="auto"/>
                <w:sz w:val="18"/>
                <w:szCs w:val="18"/>
                <w:lang w:bidi="ar"/>
              </w:rPr>
              <w:t>投标企业</w:t>
            </w:r>
          </w:p>
        </w:tc>
        <w:tc>
          <w:tcPr>
            <w:tcW w:w="622" w:type="pct"/>
          </w:tcPr>
          <w:p>
            <w:pPr>
              <w:widowControl/>
              <w:spacing w:line="240" w:lineRule="auto"/>
              <w:ind w:left="0"/>
              <w:jc w:val="center"/>
              <w:textAlignment w:val="center"/>
              <w:rPr>
                <w:rFonts w:ascii="仿宋_GB2312" w:hAnsi="仿宋_GB2312" w:eastAsia="仿宋_GB2312" w:cs="仿宋_GB2312"/>
                <w:b/>
                <w:bCs/>
                <w:color w:val="auto"/>
                <w:sz w:val="18"/>
                <w:szCs w:val="18"/>
                <w:lang w:bidi="ar"/>
              </w:rPr>
            </w:pPr>
            <w:r>
              <w:rPr>
                <w:rFonts w:hint="eastAsia" w:ascii="仿宋_GB2312" w:hAnsi="仿宋_GB2312" w:eastAsia="仿宋_GB2312" w:cs="仿宋_GB2312"/>
                <w:b/>
                <w:bCs/>
                <w:color w:val="auto"/>
                <w:sz w:val="18"/>
                <w:szCs w:val="18"/>
                <w:lang w:bidi="ar"/>
              </w:rPr>
              <w:t>中选价格（元）</w:t>
            </w:r>
          </w:p>
        </w:tc>
        <w:tc>
          <w:tcPr>
            <w:tcW w:w="649" w:type="pct"/>
          </w:tcPr>
          <w:p>
            <w:pPr>
              <w:widowControl/>
              <w:spacing w:line="240" w:lineRule="auto"/>
              <w:ind w:left="0"/>
              <w:jc w:val="center"/>
              <w:textAlignment w:val="center"/>
              <w:rPr>
                <w:rFonts w:ascii="仿宋_GB2312" w:hAnsi="仿宋_GB2312" w:eastAsia="仿宋_GB2312" w:cs="仿宋_GB2312"/>
                <w:b/>
                <w:bCs/>
                <w:color w:val="auto"/>
                <w:sz w:val="18"/>
                <w:szCs w:val="18"/>
                <w:lang w:bidi="ar"/>
              </w:rPr>
            </w:pPr>
            <w:r>
              <w:rPr>
                <w:rFonts w:hint="eastAsia" w:ascii="仿宋_GB2312" w:hAnsi="仿宋_GB2312" w:eastAsia="仿宋_GB2312" w:cs="仿宋_GB2312"/>
                <w:b/>
                <w:bCs/>
                <w:color w:val="auto"/>
                <w:sz w:val="18"/>
                <w:szCs w:val="18"/>
                <w:lang w:bidi="ar"/>
              </w:rPr>
              <w:t>采购期限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5" w:type="pct"/>
          </w:tcPr>
          <w:p>
            <w:pPr>
              <w:spacing w:line="240" w:lineRule="auto"/>
              <w:rPr>
                <w:rFonts w:ascii="仿宋_GB2312" w:hAnsi="仿宋_GB2312" w:eastAsia="仿宋_GB2312" w:cs="仿宋_GB2312"/>
                <w:color w:val="auto"/>
                <w:sz w:val="30"/>
                <w:szCs w:val="30"/>
              </w:rPr>
            </w:pPr>
          </w:p>
        </w:tc>
        <w:tc>
          <w:tcPr>
            <w:tcW w:w="581" w:type="pct"/>
          </w:tcPr>
          <w:p>
            <w:pPr>
              <w:spacing w:line="240" w:lineRule="auto"/>
              <w:rPr>
                <w:rFonts w:ascii="仿宋_GB2312" w:hAnsi="仿宋_GB2312" w:eastAsia="仿宋_GB2312" w:cs="仿宋_GB2312"/>
                <w:color w:val="auto"/>
                <w:sz w:val="30"/>
                <w:szCs w:val="30"/>
              </w:rPr>
            </w:pPr>
          </w:p>
        </w:tc>
        <w:tc>
          <w:tcPr>
            <w:tcW w:w="658" w:type="pct"/>
          </w:tcPr>
          <w:p>
            <w:pPr>
              <w:spacing w:line="240" w:lineRule="auto"/>
              <w:rPr>
                <w:rFonts w:ascii="仿宋_GB2312" w:hAnsi="仿宋_GB2312" w:eastAsia="仿宋_GB2312" w:cs="仿宋_GB2312"/>
                <w:color w:val="auto"/>
                <w:sz w:val="30"/>
                <w:szCs w:val="30"/>
              </w:rPr>
            </w:pPr>
          </w:p>
        </w:tc>
        <w:tc>
          <w:tcPr>
            <w:tcW w:w="695" w:type="pct"/>
          </w:tcPr>
          <w:p>
            <w:pPr>
              <w:spacing w:line="240" w:lineRule="auto"/>
              <w:rPr>
                <w:rFonts w:ascii="仿宋_GB2312" w:hAnsi="仿宋_GB2312" w:eastAsia="仿宋_GB2312" w:cs="仿宋_GB2312"/>
                <w:color w:val="auto"/>
                <w:sz w:val="30"/>
                <w:szCs w:val="30"/>
              </w:rPr>
            </w:pPr>
          </w:p>
        </w:tc>
        <w:tc>
          <w:tcPr>
            <w:tcW w:w="614" w:type="pct"/>
          </w:tcPr>
          <w:p>
            <w:pPr>
              <w:spacing w:line="240" w:lineRule="auto"/>
              <w:rPr>
                <w:rFonts w:ascii="仿宋_GB2312" w:hAnsi="仿宋_GB2312" w:eastAsia="仿宋_GB2312" w:cs="仿宋_GB2312"/>
                <w:color w:val="auto"/>
                <w:sz w:val="30"/>
                <w:szCs w:val="30"/>
              </w:rPr>
            </w:pPr>
          </w:p>
        </w:tc>
        <w:tc>
          <w:tcPr>
            <w:tcW w:w="591" w:type="pct"/>
          </w:tcPr>
          <w:p>
            <w:pPr>
              <w:spacing w:line="240" w:lineRule="auto"/>
              <w:rPr>
                <w:rFonts w:ascii="仿宋_GB2312" w:hAnsi="仿宋_GB2312" w:eastAsia="仿宋_GB2312" w:cs="仿宋_GB2312"/>
                <w:color w:val="auto"/>
                <w:sz w:val="30"/>
                <w:szCs w:val="30"/>
              </w:rPr>
            </w:pPr>
          </w:p>
        </w:tc>
        <w:tc>
          <w:tcPr>
            <w:tcW w:w="622" w:type="pct"/>
          </w:tcPr>
          <w:p>
            <w:pPr>
              <w:spacing w:line="240" w:lineRule="auto"/>
              <w:rPr>
                <w:rFonts w:ascii="仿宋_GB2312" w:hAnsi="仿宋_GB2312" w:eastAsia="仿宋_GB2312" w:cs="仿宋_GB2312"/>
                <w:color w:val="auto"/>
                <w:sz w:val="30"/>
                <w:szCs w:val="30"/>
              </w:rPr>
            </w:pPr>
          </w:p>
        </w:tc>
        <w:tc>
          <w:tcPr>
            <w:tcW w:w="649" w:type="pct"/>
          </w:tcPr>
          <w:p>
            <w:pPr>
              <w:spacing w:line="240" w:lineRule="auto"/>
              <w:rPr>
                <w:rFonts w:ascii="仿宋_GB2312" w:hAnsi="仿宋_GB2312" w:eastAsia="仿宋_GB2312" w:cs="仿宋_GB2312"/>
                <w:color w:val="auto"/>
                <w:sz w:val="30"/>
                <w:szCs w:val="30"/>
              </w:rPr>
            </w:pPr>
          </w:p>
        </w:tc>
      </w:tr>
    </w:tbl>
    <w:p>
      <w:pPr>
        <w:pStyle w:val="2"/>
        <w:rPr>
          <w:color w:val="auto"/>
        </w:rPr>
      </w:pPr>
    </w:p>
    <w:p>
      <w:pPr>
        <w:pStyle w:val="2"/>
        <w:rPr>
          <w:color w:val="auto"/>
        </w:rPr>
      </w:pPr>
    </w:p>
    <w:bookmarkEnd w:id="111"/>
    <w:bookmarkEnd w:id="112"/>
    <w:bookmarkEnd w:id="114"/>
    <w:bookmarkEnd w:id="115"/>
    <w:bookmarkEnd w:id="116"/>
    <w:bookmarkEnd w:id="117"/>
    <w:bookmarkEnd w:id="118"/>
    <w:p>
      <w:pPr>
        <w:pStyle w:val="2"/>
        <w:rPr>
          <w:color w:val="auto"/>
        </w:rPr>
      </w:pPr>
    </w:p>
    <w:sectPr>
      <w:footerReference r:id="rId13" w:type="default"/>
      <w:pgSz w:w="11906" w:h="16838"/>
      <w:pgMar w:top="2098" w:right="1474" w:bottom="1984" w:left="1587" w:header="851" w:footer="992" w:gutter="0"/>
      <w:pgNumType w:start="1"/>
      <w:cols w:space="425" w:num="1"/>
      <w:docGrid w:type="lines"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ＣＳ">
    <w:altName w:val="宋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方正仿宋简体">
    <w:altName w:val="微软雅黑"/>
    <w:panose1 w:val="00000000000000000000"/>
    <w:charset w:val="86"/>
    <w:family w:val="script"/>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inherit">
    <w:altName w:val="Times New Roman"/>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rPr>
        <w:rStyle w:val="25"/>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rPr>
        <w:rStyle w:val="25"/>
      </w:rPr>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23</w:t>
                          </w:r>
                          <w:r>
                            <w:rPr>
                              <w:sz w:val="28"/>
                              <w:szCs w:val="28"/>
                            </w:rPr>
                            <w:fldChar w:fldCharType="end"/>
                          </w:r>
                          <w:r>
                            <w:rPr>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13"/>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23</w:t>
                    </w:r>
                    <w:r>
                      <w:rPr>
                        <w:sz w:val="28"/>
                        <w:szCs w:val="28"/>
                      </w:rPr>
                      <w:fldChar w:fldCharType="end"/>
                    </w:r>
                    <w:r>
                      <w:rPr>
                        <w:sz w:val="28"/>
                        <w:szCs w:val="28"/>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left"/>
      <w:rPr>
        <w:rFonts w:ascii="华文仿宋" w:hAnsi="华文仿宋" w:eastAsia="华文仿宋" w:cs="华文仿宋"/>
      </w:rPr>
    </w:pPr>
    <w:r>
      <w:rPr>
        <w:rFonts w:hint="eastAsia" w:ascii="华文仿宋" w:hAnsi="华文仿宋" w:eastAsia="华文仿宋" w:cs="华文仿宋"/>
      </w:rPr>
      <w:t>深圳阳光平台</w:t>
    </w:r>
    <w:r>
      <w:rPr>
        <w:rFonts w:hint="eastAsia" w:ascii="华文仿宋" w:hAnsi="华文仿宋" w:eastAsia="华文仿宋" w:cs="华文仿宋"/>
        <w:lang w:eastAsia="zh-CN"/>
      </w:rPr>
      <w:t>泌尿介入导丝等五类</w:t>
    </w:r>
    <w:r>
      <w:rPr>
        <w:rFonts w:hint="eastAsia" w:ascii="华文仿宋" w:hAnsi="华文仿宋" w:eastAsia="华文仿宋" w:cs="华文仿宋"/>
      </w:rPr>
      <w:t>医用耗材价格谈判采购文件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spacing w:line="240" w:lineRule="auto"/>
      <w:jc w:val="left"/>
    </w:pPr>
    <w:r>
      <w:rPr>
        <w:rFonts w:hint="eastAsia" w:ascii="华文仿宋" w:hAnsi="华文仿宋" w:eastAsia="华文仿宋" w:cs="华文仿宋"/>
      </w:rPr>
      <w:t>深圳阳光平台</w:t>
    </w:r>
    <w:r>
      <w:rPr>
        <w:rFonts w:hint="eastAsia" w:ascii="华文仿宋" w:hAnsi="华文仿宋" w:eastAsia="华文仿宋" w:cs="华文仿宋"/>
        <w:lang w:eastAsia="zh-CN"/>
      </w:rPr>
      <w:t>泌尿介入导丝等五类医用耗材</w:t>
    </w:r>
    <w:r>
      <w:rPr>
        <w:rFonts w:hint="eastAsia" w:ascii="华文仿宋" w:hAnsi="华文仿宋" w:eastAsia="华文仿宋" w:cs="华文仿宋"/>
      </w:rPr>
      <w:t>价格谈判采购文件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7953FD"/>
    <w:multiLevelType w:val="multilevel"/>
    <w:tmpl w:val="047953FD"/>
    <w:lvl w:ilvl="0" w:tentative="0">
      <w:start w:val="1"/>
      <w:numFmt w:val="chineseCountingThousand"/>
      <w:suff w:val="nothing"/>
      <w:lvlText w:val="第%1章"/>
      <w:lvlJc w:val="left"/>
      <w:pPr>
        <w:ind w:left="0" w:firstLine="0"/>
      </w:pPr>
      <w:rPr>
        <w:rFonts w:hint="eastAsia" w:ascii="仿宋ＣＳ" w:eastAsia="仿宋ＣＳ"/>
        <w:b/>
        <w:i w:val="0"/>
        <w:sz w:val="32"/>
      </w:rPr>
    </w:lvl>
    <w:lvl w:ilvl="1" w:tentative="0">
      <w:start w:val="1"/>
      <w:numFmt w:val="chineseCountingThousand"/>
      <w:pStyle w:val="4"/>
      <w:suff w:val="nothing"/>
      <w:lvlText w:val="第%2条"/>
      <w:lvlJc w:val="left"/>
      <w:pPr>
        <w:ind w:left="0" w:firstLine="0"/>
      </w:pPr>
      <w:rPr>
        <w:rFonts w:hint="eastAsia" w:ascii="仿宋ＣＳ" w:eastAsia="仿宋ＣＳ"/>
        <w:b/>
        <w:i w:val="0"/>
        <w:sz w:val="30"/>
      </w:rPr>
    </w:lvl>
    <w:lvl w:ilvl="2" w:tentative="0">
      <w:start w:val="1"/>
      <w:numFmt w:val="chineseCountingThousand"/>
      <w:lvlRestart w:val="0"/>
      <w:suff w:val="nothing"/>
      <w:lvlText w:val="（%3）"/>
      <w:lvlJc w:val="left"/>
      <w:pPr>
        <w:ind w:left="0" w:firstLine="0"/>
      </w:pPr>
      <w:rPr>
        <w:rFonts w:hint="eastAsia" w:ascii="仿宋ＣＳ" w:eastAsia="仿宋ＣＳ"/>
        <w:b w:val="0"/>
        <w:i w:val="0"/>
        <w:sz w:val="30"/>
      </w:rPr>
    </w:lvl>
    <w:lvl w:ilvl="3" w:tentative="0">
      <w:start w:val="1"/>
      <w:numFmt w:val="none"/>
      <w:suff w:val="nothing"/>
      <w:lvlText w:val=""/>
      <w:lvlJc w:val="left"/>
      <w:pPr>
        <w:ind w:left="0" w:firstLine="0"/>
      </w:pPr>
      <w:rPr>
        <w:rFonts w:hint="eastAsia"/>
      </w:rPr>
    </w:lvl>
    <w:lvl w:ilvl="4" w:tentative="0">
      <w:start w:val="1"/>
      <w:numFmt w:val="none"/>
      <w:suff w:val="nothing"/>
      <w:lvlText w:val=""/>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1">
    <w:nsid w:val="4C810CF4"/>
    <w:multiLevelType w:val="singleLevel"/>
    <w:tmpl w:val="4C810CF4"/>
    <w:lvl w:ilvl="0" w:tentative="0">
      <w:start w:val="1"/>
      <w:numFmt w:val="chineseCounting"/>
      <w:suff w:val="nothing"/>
      <w:lvlText w:val="（%1）"/>
      <w:lvlJc w:val="left"/>
      <w:rPr>
        <w:rFonts w:hint="eastAsia" w:ascii="楷体_GB2312" w:hAnsi="楷体_GB2312" w:eastAsia="楷体_GB2312" w:cs="楷体_GB2312"/>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20"/>
  <w:drawingGridVerticalSpacing w:val="163"/>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UxNjJlYzY5ZWI0Mjg3NmFmYzA4NGQ5YjA3ZmU2NGMifQ=="/>
  </w:docVars>
  <w:rsids>
    <w:rsidRoot w:val="00493799"/>
    <w:rsid w:val="0000061D"/>
    <w:rsid w:val="00004CE1"/>
    <w:rsid w:val="0001245A"/>
    <w:rsid w:val="00012AF4"/>
    <w:rsid w:val="00012C16"/>
    <w:rsid w:val="00025E86"/>
    <w:rsid w:val="00026E43"/>
    <w:rsid w:val="0003590A"/>
    <w:rsid w:val="000548EE"/>
    <w:rsid w:val="00064219"/>
    <w:rsid w:val="00066376"/>
    <w:rsid w:val="00074438"/>
    <w:rsid w:val="000A2A31"/>
    <w:rsid w:val="000A7E0D"/>
    <w:rsid w:val="000B16E5"/>
    <w:rsid w:val="000B70D6"/>
    <w:rsid w:val="000C53FF"/>
    <w:rsid w:val="000D0CE9"/>
    <w:rsid w:val="000D740A"/>
    <w:rsid w:val="000E325F"/>
    <w:rsid w:val="000F3E22"/>
    <w:rsid w:val="000F4CC3"/>
    <w:rsid w:val="000F5F44"/>
    <w:rsid w:val="00116334"/>
    <w:rsid w:val="00124DFC"/>
    <w:rsid w:val="00136E25"/>
    <w:rsid w:val="00137FE8"/>
    <w:rsid w:val="001478E7"/>
    <w:rsid w:val="0015188E"/>
    <w:rsid w:val="00152683"/>
    <w:rsid w:val="0015483D"/>
    <w:rsid w:val="00162FE7"/>
    <w:rsid w:val="00167000"/>
    <w:rsid w:val="001674B2"/>
    <w:rsid w:val="001708A9"/>
    <w:rsid w:val="00174B71"/>
    <w:rsid w:val="00182D6A"/>
    <w:rsid w:val="00186DB9"/>
    <w:rsid w:val="00187501"/>
    <w:rsid w:val="00196805"/>
    <w:rsid w:val="001A009E"/>
    <w:rsid w:val="001B36A9"/>
    <w:rsid w:val="001B754A"/>
    <w:rsid w:val="001C63F9"/>
    <w:rsid w:val="001C74C1"/>
    <w:rsid w:val="001D76E5"/>
    <w:rsid w:val="001E4080"/>
    <w:rsid w:val="001E6827"/>
    <w:rsid w:val="001E7DD0"/>
    <w:rsid w:val="001F4C10"/>
    <w:rsid w:val="00206E95"/>
    <w:rsid w:val="00226E95"/>
    <w:rsid w:val="00235F87"/>
    <w:rsid w:val="00241F7F"/>
    <w:rsid w:val="002467EF"/>
    <w:rsid w:val="00253335"/>
    <w:rsid w:val="0026261F"/>
    <w:rsid w:val="00263BAA"/>
    <w:rsid w:val="00267969"/>
    <w:rsid w:val="00277700"/>
    <w:rsid w:val="002846BA"/>
    <w:rsid w:val="00290567"/>
    <w:rsid w:val="00290BE0"/>
    <w:rsid w:val="002949BE"/>
    <w:rsid w:val="00295AC6"/>
    <w:rsid w:val="002A267F"/>
    <w:rsid w:val="002A5404"/>
    <w:rsid w:val="002B2E4A"/>
    <w:rsid w:val="002B4272"/>
    <w:rsid w:val="002C032C"/>
    <w:rsid w:val="002C47F8"/>
    <w:rsid w:val="002D574C"/>
    <w:rsid w:val="002D5877"/>
    <w:rsid w:val="002E0374"/>
    <w:rsid w:val="002E4967"/>
    <w:rsid w:val="002E614B"/>
    <w:rsid w:val="002F2BCF"/>
    <w:rsid w:val="002F5EDB"/>
    <w:rsid w:val="00302C8D"/>
    <w:rsid w:val="00307A82"/>
    <w:rsid w:val="00310FD9"/>
    <w:rsid w:val="003120F0"/>
    <w:rsid w:val="003240F6"/>
    <w:rsid w:val="00331CA5"/>
    <w:rsid w:val="0033286C"/>
    <w:rsid w:val="00333F01"/>
    <w:rsid w:val="003400F2"/>
    <w:rsid w:val="00347D10"/>
    <w:rsid w:val="0035019B"/>
    <w:rsid w:val="00360B41"/>
    <w:rsid w:val="0037482D"/>
    <w:rsid w:val="00377CE9"/>
    <w:rsid w:val="00381D90"/>
    <w:rsid w:val="00382590"/>
    <w:rsid w:val="003831B6"/>
    <w:rsid w:val="003845BA"/>
    <w:rsid w:val="00390063"/>
    <w:rsid w:val="00390254"/>
    <w:rsid w:val="00393C2F"/>
    <w:rsid w:val="00396521"/>
    <w:rsid w:val="003A1761"/>
    <w:rsid w:val="003A178A"/>
    <w:rsid w:val="003A3AE3"/>
    <w:rsid w:val="003C16CC"/>
    <w:rsid w:val="003C51E6"/>
    <w:rsid w:val="003D0D35"/>
    <w:rsid w:val="003D3FD7"/>
    <w:rsid w:val="003D4926"/>
    <w:rsid w:val="003E03CE"/>
    <w:rsid w:val="003E0819"/>
    <w:rsid w:val="003E0C88"/>
    <w:rsid w:val="003E2655"/>
    <w:rsid w:val="003F10F9"/>
    <w:rsid w:val="003F2D48"/>
    <w:rsid w:val="003F3BDE"/>
    <w:rsid w:val="0040025D"/>
    <w:rsid w:val="004016A3"/>
    <w:rsid w:val="00401A52"/>
    <w:rsid w:val="00402B08"/>
    <w:rsid w:val="004104C3"/>
    <w:rsid w:val="0041119F"/>
    <w:rsid w:val="004242BE"/>
    <w:rsid w:val="00427B2A"/>
    <w:rsid w:val="004300BB"/>
    <w:rsid w:val="00433F5B"/>
    <w:rsid w:val="0044114A"/>
    <w:rsid w:val="00442470"/>
    <w:rsid w:val="004434F5"/>
    <w:rsid w:val="00443D28"/>
    <w:rsid w:val="00447FDE"/>
    <w:rsid w:val="00450BA9"/>
    <w:rsid w:val="004546F8"/>
    <w:rsid w:val="00466EBF"/>
    <w:rsid w:val="00471618"/>
    <w:rsid w:val="00473625"/>
    <w:rsid w:val="00473917"/>
    <w:rsid w:val="00476027"/>
    <w:rsid w:val="00480895"/>
    <w:rsid w:val="00484AEB"/>
    <w:rsid w:val="00493799"/>
    <w:rsid w:val="00493F48"/>
    <w:rsid w:val="004955CA"/>
    <w:rsid w:val="00496BE2"/>
    <w:rsid w:val="004A162B"/>
    <w:rsid w:val="004A1D87"/>
    <w:rsid w:val="004A2352"/>
    <w:rsid w:val="004B0B90"/>
    <w:rsid w:val="004B2045"/>
    <w:rsid w:val="004B41E3"/>
    <w:rsid w:val="004C0177"/>
    <w:rsid w:val="004D1A8C"/>
    <w:rsid w:val="004D1DEB"/>
    <w:rsid w:val="004D6564"/>
    <w:rsid w:val="004E074C"/>
    <w:rsid w:val="004E2831"/>
    <w:rsid w:val="004E3F9E"/>
    <w:rsid w:val="004F11B2"/>
    <w:rsid w:val="004F2BED"/>
    <w:rsid w:val="004F633B"/>
    <w:rsid w:val="00507F6A"/>
    <w:rsid w:val="00510B9E"/>
    <w:rsid w:val="00517113"/>
    <w:rsid w:val="00517A65"/>
    <w:rsid w:val="005240A2"/>
    <w:rsid w:val="00533ED3"/>
    <w:rsid w:val="005342A9"/>
    <w:rsid w:val="005360A0"/>
    <w:rsid w:val="00540AD6"/>
    <w:rsid w:val="00541170"/>
    <w:rsid w:val="00543CD9"/>
    <w:rsid w:val="00544044"/>
    <w:rsid w:val="0054523A"/>
    <w:rsid w:val="005520EB"/>
    <w:rsid w:val="00555DD1"/>
    <w:rsid w:val="00563DEC"/>
    <w:rsid w:val="005658CC"/>
    <w:rsid w:val="00577FDC"/>
    <w:rsid w:val="00591C6D"/>
    <w:rsid w:val="00592F9F"/>
    <w:rsid w:val="0059391C"/>
    <w:rsid w:val="00594353"/>
    <w:rsid w:val="00597E50"/>
    <w:rsid w:val="005A0A44"/>
    <w:rsid w:val="005A1789"/>
    <w:rsid w:val="005B3898"/>
    <w:rsid w:val="005C7703"/>
    <w:rsid w:val="005D1C51"/>
    <w:rsid w:val="005D5FCB"/>
    <w:rsid w:val="005D6EF3"/>
    <w:rsid w:val="005E06AF"/>
    <w:rsid w:val="005E2881"/>
    <w:rsid w:val="005E3FF2"/>
    <w:rsid w:val="005F0311"/>
    <w:rsid w:val="005F68A1"/>
    <w:rsid w:val="00600CE9"/>
    <w:rsid w:val="00601FD5"/>
    <w:rsid w:val="00604651"/>
    <w:rsid w:val="00606CE8"/>
    <w:rsid w:val="006101B5"/>
    <w:rsid w:val="006209CE"/>
    <w:rsid w:val="00622EC8"/>
    <w:rsid w:val="00624EFC"/>
    <w:rsid w:val="0062622E"/>
    <w:rsid w:val="00636BD9"/>
    <w:rsid w:val="00640BC0"/>
    <w:rsid w:val="00646A5B"/>
    <w:rsid w:val="006506F8"/>
    <w:rsid w:val="00650BBF"/>
    <w:rsid w:val="00653090"/>
    <w:rsid w:val="00653209"/>
    <w:rsid w:val="006547DD"/>
    <w:rsid w:val="006576F5"/>
    <w:rsid w:val="006611D4"/>
    <w:rsid w:val="00664BF6"/>
    <w:rsid w:val="00671940"/>
    <w:rsid w:val="006746AE"/>
    <w:rsid w:val="00686619"/>
    <w:rsid w:val="00687F91"/>
    <w:rsid w:val="0069571C"/>
    <w:rsid w:val="00696FB7"/>
    <w:rsid w:val="006A1A3C"/>
    <w:rsid w:val="006C4A17"/>
    <w:rsid w:val="006D7B38"/>
    <w:rsid w:val="006E4853"/>
    <w:rsid w:val="006E5F66"/>
    <w:rsid w:val="006E630A"/>
    <w:rsid w:val="006E65D7"/>
    <w:rsid w:val="006E72CB"/>
    <w:rsid w:val="0070287D"/>
    <w:rsid w:val="0070654D"/>
    <w:rsid w:val="00714A04"/>
    <w:rsid w:val="007150AB"/>
    <w:rsid w:val="00717AE3"/>
    <w:rsid w:val="00723AB7"/>
    <w:rsid w:val="00723D39"/>
    <w:rsid w:val="007279CA"/>
    <w:rsid w:val="00732819"/>
    <w:rsid w:val="00746F5B"/>
    <w:rsid w:val="00747ABF"/>
    <w:rsid w:val="007502C9"/>
    <w:rsid w:val="0077281D"/>
    <w:rsid w:val="00781389"/>
    <w:rsid w:val="00784957"/>
    <w:rsid w:val="007974FF"/>
    <w:rsid w:val="007B36AD"/>
    <w:rsid w:val="007B557B"/>
    <w:rsid w:val="007C21B5"/>
    <w:rsid w:val="007C5802"/>
    <w:rsid w:val="007D2368"/>
    <w:rsid w:val="007D23C1"/>
    <w:rsid w:val="007D3F50"/>
    <w:rsid w:val="007E414B"/>
    <w:rsid w:val="007F78AB"/>
    <w:rsid w:val="00807828"/>
    <w:rsid w:val="00835A7C"/>
    <w:rsid w:val="008432D8"/>
    <w:rsid w:val="008464F0"/>
    <w:rsid w:val="008550FA"/>
    <w:rsid w:val="008660D1"/>
    <w:rsid w:val="00867910"/>
    <w:rsid w:val="00867D35"/>
    <w:rsid w:val="008714B9"/>
    <w:rsid w:val="00871C6B"/>
    <w:rsid w:val="00877378"/>
    <w:rsid w:val="0088104C"/>
    <w:rsid w:val="008909B3"/>
    <w:rsid w:val="0089356F"/>
    <w:rsid w:val="008A5164"/>
    <w:rsid w:val="008B3B04"/>
    <w:rsid w:val="008C57C7"/>
    <w:rsid w:val="008C7C7B"/>
    <w:rsid w:val="008D4F6C"/>
    <w:rsid w:val="008E45E8"/>
    <w:rsid w:val="008E67C8"/>
    <w:rsid w:val="008F5396"/>
    <w:rsid w:val="00911A98"/>
    <w:rsid w:val="00914DC7"/>
    <w:rsid w:val="009167A5"/>
    <w:rsid w:val="00917878"/>
    <w:rsid w:val="00923EA7"/>
    <w:rsid w:val="00925375"/>
    <w:rsid w:val="0092622F"/>
    <w:rsid w:val="00927CB0"/>
    <w:rsid w:val="00927DF4"/>
    <w:rsid w:val="00930F70"/>
    <w:rsid w:val="00932707"/>
    <w:rsid w:val="0093398A"/>
    <w:rsid w:val="0094225C"/>
    <w:rsid w:val="00944861"/>
    <w:rsid w:val="00944906"/>
    <w:rsid w:val="0095226B"/>
    <w:rsid w:val="00964060"/>
    <w:rsid w:val="00964198"/>
    <w:rsid w:val="00973CCA"/>
    <w:rsid w:val="00973F8D"/>
    <w:rsid w:val="0097567E"/>
    <w:rsid w:val="00993D55"/>
    <w:rsid w:val="00997FB4"/>
    <w:rsid w:val="009A38A9"/>
    <w:rsid w:val="009B5371"/>
    <w:rsid w:val="009C35AE"/>
    <w:rsid w:val="009E2316"/>
    <w:rsid w:val="009F2BFE"/>
    <w:rsid w:val="00A00479"/>
    <w:rsid w:val="00A00E78"/>
    <w:rsid w:val="00A01FB5"/>
    <w:rsid w:val="00A1215B"/>
    <w:rsid w:val="00A12C19"/>
    <w:rsid w:val="00A13807"/>
    <w:rsid w:val="00A1434E"/>
    <w:rsid w:val="00A26F70"/>
    <w:rsid w:val="00A35B6A"/>
    <w:rsid w:val="00A35FA9"/>
    <w:rsid w:val="00A6280B"/>
    <w:rsid w:val="00A663AD"/>
    <w:rsid w:val="00A70DC8"/>
    <w:rsid w:val="00A71396"/>
    <w:rsid w:val="00A81017"/>
    <w:rsid w:val="00A8199E"/>
    <w:rsid w:val="00A82B4A"/>
    <w:rsid w:val="00AA3FA9"/>
    <w:rsid w:val="00AB3C2B"/>
    <w:rsid w:val="00AB3F16"/>
    <w:rsid w:val="00AD351A"/>
    <w:rsid w:val="00AF2D88"/>
    <w:rsid w:val="00AF433D"/>
    <w:rsid w:val="00AF6646"/>
    <w:rsid w:val="00B021DA"/>
    <w:rsid w:val="00B034CB"/>
    <w:rsid w:val="00B05350"/>
    <w:rsid w:val="00B06500"/>
    <w:rsid w:val="00B11AD7"/>
    <w:rsid w:val="00B11D3F"/>
    <w:rsid w:val="00B13272"/>
    <w:rsid w:val="00B13686"/>
    <w:rsid w:val="00B14147"/>
    <w:rsid w:val="00B14D05"/>
    <w:rsid w:val="00B1786B"/>
    <w:rsid w:val="00B22318"/>
    <w:rsid w:val="00B271A8"/>
    <w:rsid w:val="00B2741E"/>
    <w:rsid w:val="00B41FE0"/>
    <w:rsid w:val="00B51332"/>
    <w:rsid w:val="00B579A9"/>
    <w:rsid w:val="00B64ED2"/>
    <w:rsid w:val="00B66286"/>
    <w:rsid w:val="00B75FE8"/>
    <w:rsid w:val="00B84979"/>
    <w:rsid w:val="00B91DD9"/>
    <w:rsid w:val="00B94A63"/>
    <w:rsid w:val="00B96111"/>
    <w:rsid w:val="00BB1DC5"/>
    <w:rsid w:val="00BC1DE6"/>
    <w:rsid w:val="00BC3CDB"/>
    <w:rsid w:val="00BC774A"/>
    <w:rsid w:val="00BD3F05"/>
    <w:rsid w:val="00BD5714"/>
    <w:rsid w:val="00BD5744"/>
    <w:rsid w:val="00BD5A8B"/>
    <w:rsid w:val="00BD6EC8"/>
    <w:rsid w:val="00BE22A5"/>
    <w:rsid w:val="00BE308C"/>
    <w:rsid w:val="00BF7138"/>
    <w:rsid w:val="00C15DA6"/>
    <w:rsid w:val="00C270F1"/>
    <w:rsid w:val="00C42833"/>
    <w:rsid w:val="00C5140A"/>
    <w:rsid w:val="00C52AE8"/>
    <w:rsid w:val="00C57A7B"/>
    <w:rsid w:val="00C60D62"/>
    <w:rsid w:val="00C6305A"/>
    <w:rsid w:val="00C75036"/>
    <w:rsid w:val="00C83735"/>
    <w:rsid w:val="00C87E39"/>
    <w:rsid w:val="00C933A9"/>
    <w:rsid w:val="00CA47BE"/>
    <w:rsid w:val="00CA48A0"/>
    <w:rsid w:val="00CA48EA"/>
    <w:rsid w:val="00CA4EAA"/>
    <w:rsid w:val="00CA5B59"/>
    <w:rsid w:val="00CC440D"/>
    <w:rsid w:val="00CE10F8"/>
    <w:rsid w:val="00CE3237"/>
    <w:rsid w:val="00CE4150"/>
    <w:rsid w:val="00CF6C93"/>
    <w:rsid w:val="00D07AF8"/>
    <w:rsid w:val="00D126D5"/>
    <w:rsid w:val="00D149F0"/>
    <w:rsid w:val="00D152B6"/>
    <w:rsid w:val="00D16D66"/>
    <w:rsid w:val="00D268C7"/>
    <w:rsid w:val="00D348CF"/>
    <w:rsid w:val="00D34D79"/>
    <w:rsid w:val="00D426A2"/>
    <w:rsid w:val="00D433F5"/>
    <w:rsid w:val="00D44476"/>
    <w:rsid w:val="00D45DF2"/>
    <w:rsid w:val="00D52953"/>
    <w:rsid w:val="00D54BBF"/>
    <w:rsid w:val="00D55722"/>
    <w:rsid w:val="00D56E8C"/>
    <w:rsid w:val="00D67087"/>
    <w:rsid w:val="00D82C7A"/>
    <w:rsid w:val="00D8536C"/>
    <w:rsid w:val="00D8601B"/>
    <w:rsid w:val="00D86E96"/>
    <w:rsid w:val="00D908DF"/>
    <w:rsid w:val="00DA106A"/>
    <w:rsid w:val="00DB2499"/>
    <w:rsid w:val="00DB5D8C"/>
    <w:rsid w:val="00DB6462"/>
    <w:rsid w:val="00DC071F"/>
    <w:rsid w:val="00DC1A13"/>
    <w:rsid w:val="00DD0E56"/>
    <w:rsid w:val="00DD5680"/>
    <w:rsid w:val="00DE7E28"/>
    <w:rsid w:val="00DF507B"/>
    <w:rsid w:val="00DF5A8D"/>
    <w:rsid w:val="00E14739"/>
    <w:rsid w:val="00E163B6"/>
    <w:rsid w:val="00E17FA9"/>
    <w:rsid w:val="00E21090"/>
    <w:rsid w:val="00E277F4"/>
    <w:rsid w:val="00E31DC8"/>
    <w:rsid w:val="00E40CB8"/>
    <w:rsid w:val="00E449DC"/>
    <w:rsid w:val="00E526AD"/>
    <w:rsid w:val="00E54C60"/>
    <w:rsid w:val="00E557E8"/>
    <w:rsid w:val="00E568BA"/>
    <w:rsid w:val="00E60AC5"/>
    <w:rsid w:val="00E7555B"/>
    <w:rsid w:val="00E76F89"/>
    <w:rsid w:val="00E80D5E"/>
    <w:rsid w:val="00E8186C"/>
    <w:rsid w:val="00E91E58"/>
    <w:rsid w:val="00EA3F29"/>
    <w:rsid w:val="00EC353C"/>
    <w:rsid w:val="00EC3DDC"/>
    <w:rsid w:val="00EE0944"/>
    <w:rsid w:val="00EF47D9"/>
    <w:rsid w:val="00EF62BC"/>
    <w:rsid w:val="00F0321B"/>
    <w:rsid w:val="00F1486B"/>
    <w:rsid w:val="00F16C85"/>
    <w:rsid w:val="00F17878"/>
    <w:rsid w:val="00F17A22"/>
    <w:rsid w:val="00F2584D"/>
    <w:rsid w:val="00F27AF7"/>
    <w:rsid w:val="00F36E44"/>
    <w:rsid w:val="00F40D3B"/>
    <w:rsid w:val="00F41733"/>
    <w:rsid w:val="00F45019"/>
    <w:rsid w:val="00F4629B"/>
    <w:rsid w:val="00F5077D"/>
    <w:rsid w:val="00F549B3"/>
    <w:rsid w:val="00F54A21"/>
    <w:rsid w:val="00F70CC5"/>
    <w:rsid w:val="00F7150F"/>
    <w:rsid w:val="00F77137"/>
    <w:rsid w:val="00F93748"/>
    <w:rsid w:val="00F93BBE"/>
    <w:rsid w:val="00F93BCC"/>
    <w:rsid w:val="00F93EA2"/>
    <w:rsid w:val="00F96145"/>
    <w:rsid w:val="00F97155"/>
    <w:rsid w:val="00FA168E"/>
    <w:rsid w:val="00FB472B"/>
    <w:rsid w:val="00FC5650"/>
    <w:rsid w:val="00FF0F18"/>
    <w:rsid w:val="00FF5D26"/>
    <w:rsid w:val="00FF6A17"/>
    <w:rsid w:val="00FF6DBC"/>
    <w:rsid w:val="00FF7DD5"/>
    <w:rsid w:val="010609AB"/>
    <w:rsid w:val="010F10BE"/>
    <w:rsid w:val="013B3247"/>
    <w:rsid w:val="01460861"/>
    <w:rsid w:val="01502484"/>
    <w:rsid w:val="01836476"/>
    <w:rsid w:val="01980954"/>
    <w:rsid w:val="01B40E34"/>
    <w:rsid w:val="01DD0CEC"/>
    <w:rsid w:val="0221420C"/>
    <w:rsid w:val="02222BA0"/>
    <w:rsid w:val="023459A2"/>
    <w:rsid w:val="02967839"/>
    <w:rsid w:val="02B82E32"/>
    <w:rsid w:val="02CE2AD5"/>
    <w:rsid w:val="0300648D"/>
    <w:rsid w:val="031129DA"/>
    <w:rsid w:val="032A7F37"/>
    <w:rsid w:val="033F03E5"/>
    <w:rsid w:val="03453BC2"/>
    <w:rsid w:val="037E006D"/>
    <w:rsid w:val="03EB5B59"/>
    <w:rsid w:val="03FF312C"/>
    <w:rsid w:val="03FF45C2"/>
    <w:rsid w:val="04064974"/>
    <w:rsid w:val="041813DE"/>
    <w:rsid w:val="045A709D"/>
    <w:rsid w:val="046C559C"/>
    <w:rsid w:val="047C4DC5"/>
    <w:rsid w:val="048418C5"/>
    <w:rsid w:val="04C4250B"/>
    <w:rsid w:val="05060E88"/>
    <w:rsid w:val="051800A1"/>
    <w:rsid w:val="05235453"/>
    <w:rsid w:val="055012F4"/>
    <w:rsid w:val="055D112D"/>
    <w:rsid w:val="055D4606"/>
    <w:rsid w:val="05633C55"/>
    <w:rsid w:val="05765410"/>
    <w:rsid w:val="057C6C7E"/>
    <w:rsid w:val="059D00E0"/>
    <w:rsid w:val="05A312FD"/>
    <w:rsid w:val="05A6434C"/>
    <w:rsid w:val="05C875E1"/>
    <w:rsid w:val="05D032D4"/>
    <w:rsid w:val="05D5230A"/>
    <w:rsid w:val="05E8344F"/>
    <w:rsid w:val="05EE7841"/>
    <w:rsid w:val="06511858"/>
    <w:rsid w:val="06544D84"/>
    <w:rsid w:val="066119A2"/>
    <w:rsid w:val="06795A51"/>
    <w:rsid w:val="068239C1"/>
    <w:rsid w:val="06A01628"/>
    <w:rsid w:val="06B900CC"/>
    <w:rsid w:val="06C20DF0"/>
    <w:rsid w:val="06CE408D"/>
    <w:rsid w:val="06D62929"/>
    <w:rsid w:val="06EF7BBF"/>
    <w:rsid w:val="07105B5E"/>
    <w:rsid w:val="07257A01"/>
    <w:rsid w:val="07345059"/>
    <w:rsid w:val="07430179"/>
    <w:rsid w:val="074D5529"/>
    <w:rsid w:val="07663CD1"/>
    <w:rsid w:val="077210AE"/>
    <w:rsid w:val="07730B9B"/>
    <w:rsid w:val="07B52A26"/>
    <w:rsid w:val="07BF1FCC"/>
    <w:rsid w:val="07C2455A"/>
    <w:rsid w:val="07D11C26"/>
    <w:rsid w:val="07DB66BF"/>
    <w:rsid w:val="07E57068"/>
    <w:rsid w:val="07F03015"/>
    <w:rsid w:val="08016084"/>
    <w:rsid w:val="084E675A"/>
    <w:rsid w:val="0852673F"/>
    <w:rsid w:val="08581223"/>
    <w:rsid w:val="085C5B01"/>
    <w:rsid w:val="086404D3"/>
    <w:rsid w:val="08A73EC6"/>
    <w:rsid w:val="08C20870"/>
    <w:rsid w:val="08D24BE7"/>
    <w:rsid w:val="08D6323F"/>
    <w:rsid w:val="08DC0F59"/>
    <w:rsid w:val="08E46D1D"/>
    <w:rsid w:val="090B6283"/>
    <w:rsid w:val="093E2047"/>
    <w:rsid w:val="095A0A0E"/>
    <w:rsid w:val="095B4795"/>
    <w:rsid w:val="09891488"/>
    <w:rsid w:val="09C22977"/>
    <w:rsid w:val="09E55D6D"/>
    <w:rsid w:val="09FD21F9"/>
    <w:rsid w:val="0A225AE1"/>
    <w:rsid w:val="0A2A160A"/>
    <w:rsid w:val="0A2C3AEC"/>
    <w:rsid w:val="0A480594"/>
    <w:rsid w:val="0A7C15F2"/>
    <w:rsid w:val="0A9111B7"/>
    <w:rsid w:val="0A9132C4"/>
    <w:rsid w:val="0A9B7920"/>
    <w:rsid w:val="0AA62C62"/>
    <w:rsid w:val="0AA76B1D"/>
    <w:rsid w:val="0AB110B9"/>
    <w:rsid w:val="0ADE46F2"/>
    <w:rsid w:val="0AE2165D"/>
    <w:rsid w:val="0AE41DE0"/>
    <w:rsid w:val="0AEB350E"/>
    <w:rsid w:val="0B0615C5"/>
    <w:rsid w:val="0B3A2194"/>
    <w:rsid w:val="0B3E51AD"/>
    <w:rsid w:val="0B7F77E5"/>
    <w:rsid w:val="0B980942"/>
    <w:rsid w:val="0C0825BB"/>
    <w:rsid w:val="0C087724"/>
    <w:rsid w:val="0C1F0DAF"/>
    <w:rsid w:val="0C696EBC"/>
    <w:rsid w:val="0CBA425E"/>
    <w:rsid w:val="0CD65FA9"/>
    <w:rsid w:val="0D073D5B"/>
    <w:rsid w:val="0D420B81"/>
    <w:rsid w:val="0D420ED2"/>
    <w:rsid w:val="0D500C1D"/>
    <w:rsid w:val="0D932E29"/>
    <w:rsid w:val="0D9869F7"/>
    <w:rsid w:val="0DCE553E"/>
    <w:rsid w:val="0E293897"/>
    <w:rsid w:val="0E534CAB"/>
    <w:rsid w:val="0E7A3B6F"/>
    <w:rsid w:val="0E93638D"/>
    <w:rsid w:val="0E995583"/>
    <w:rsid w:val="0EA216AA"/>
    <w:rsid w:val="0EA864B2"/>
    <w:rsid w:val="0EBD3A78"/>
    <w:rsid w:val="0EC20DF0"/>
    <w:rsid w:val="0EC40ADC"/>
    <w:rsid w:val="0EE14263"/>
    <w:rsid w:val="0F11155B"/>
    <w:rsid w:val="0F655C62"/>
    <w:rsid w:val="0F842E8D"/>
    <w:rsid w:val="0F9603C4"/>
    <w:rsid w:val="0FC646C6"/>
    <w:rsid w:val="0FD55720"/>
    <w:rsid w:val="0FDC5E24"/>
    <w:rsid w:val="10647AA2"/>
    <w:rsid w:val="10873C74"/>
    <w:rsid w:val="109505F2"/>
    <w:rsid w:val="1097723F"/>
    <w:rsid w:val="10F31AAD"/>
    <w:rsid w:val="10F9493F"/>
    <w:rsid w:val="11042B9B"/>
    <w:rsid w:val="110F1138"/>
    <w:rsid w:val="11501E23"/>
    <w:rsid w:val="116146FB"/>
    <w:rsid w:val="11727ABA"/>
    <w:rsid w:val="118D5378"/>
    <w:rsid w:val="118E6C1B"/>
    <w:rsid w:val="11A432BC"/>
    <w:rsid w:val="11BA2FF3"/>
    <w:rsid w:val="1213717D"/>
    <w:rsid w:val="122913C3"/>
    <w:rsid w:val="12343089"/>
    <w:rsid w:val="126C0A6D"/>
    <w:rsid w:val="126C1968"/>
    <w:rsid w:val="126C21CF"/>
    <w:rsid w:val="129D4A25"/>
    <w:rsid w:val="12A36C64"/>
    <w:rsid w:val="12B83DFB"/>
    <w:rsid w:val="12DA6112"/>
    <w:rsid w:val="13045BD5"/>
    <w:rsid w:val="131259B0"/>
    <w:rsid w:val="131E7703"/>
    <w:rsid w:val="13510306"/>
    <w:rsid w:val="137B67C5"/>
    <w:rsid w:val="13A80CCD"/>
    <w:rsid w:val="14045069"/>
    <w:rsid w:val="14196AC8"/>
    <w:rsid w:val="14216A14"/>
    <w:rsid w:val="14306B3E"/>
    <w:rsid w:val="1447430A"/>
    <w:rsid w:val="14AC029A"/>
    <w:rsid w:val="14EF24EF"/>
    <w:rsid w:val="15027E50"/>
    <w:rsid w:val="15350898"/>
    <w:rsid w:val="155326FD"/>
    <w:rsid w:val="1560118C"/>
    <w:rsid w:val="1571444A"/>
    <w:rsid w:val="15AA6F86"/>
    <w:rsid w:val="15B31E71"/>
    <w:rsid w:val="15DB1931"/>
    <w:rsid w:val="15DE00DF"/>
    <w:rsid w:val="15EA25F4"/>
    <w:rsid w:val="15F30995"/>
    <w:rsid w:val="15F520C6"/>
    <w:rsid w:val="1634328D"/>
    <w:rsid w:val="163B4C1B"/>
    <w:rsid w:val="164B5DD8"/>
    <w:rsid w:val="16870D73"/>
    <w:rsid w:val="1695191F"/>
    <w:rsid w:val="16D65668"/>
    <w:rsid w:val="172A52AF"/>
    <w:rsid w:val="173331A3"/>
    <w:rsid w:val="173C5CB6"/>
    <w:rsid w:val="17423448"/>
    <w:rsid w:val="17461729"/>
    <w:rsid w:val="175216B5"/>
    <w:rsid w:val="179D2D73"/>
    <w:rsid w:val="17AF56FC"/>
    <w:rsid w:val="17BA3D73"/>
    <w:rsid w:val="17C278E8"/>
    <w:rsid w:val="17E45866"/>
    <w:rsid w:val="18320F55"/>
    <w:rsid w:val="183D3660"/>
    <w:rsid w:val="183F4E3A"/>
    <w:rsid w:val="184C1C47"/>
    <w:rsid w:val="18537DF9"/>
    <w:rsid w:val="187C634E"/>
    <w:rsid w:val="188D7FFC"/>
    <w:rsid w:val="18A2181B"/>
    <w:rsid w:val="18BD721B"/>
    <w:rsid w:val="1915479E"/>
    <w:rsid w:val="19301458"/>
    <w:rsid w:val="19A4455B"/>
    <w:rsid w:val="19B736B8"/>
    <w:rsid w:val="19B74376"/>
    <w:rsid w:val="19E538A2"/>
    <w:rsid w:val="19E704C2"/>
    <w:rsid w:val="1A143502"/>
    <w:rsid w:val="1A35239F"/>
    <w:rsid w:val="1A3C68AE"/>
    <w:rsid w:val="1A3E7309"/>
    <w:rsid w:val="1A551905"/>
    <w:rsid w:val="1A604F28"/>
    <w:rsid w:val="1A7D743B"/>
    <w:rsid w:val="1A9360AE"/>
    <w:rsid w:val="1A9C51B0"/>
    <w:rsid w:val="1AAD6AA4"/>
    <w:rsid w:val="1AD403DA"/>
    <w:rsid w:val="1B3A7E3F"/>
    <w:rsid w:val="1B565D21"/>
    <w:rsid w:val="1B594C61"/>
    <w:rsid w:val="1B706E85"/>
    <w:rsid w:val="1B74666A"/>
    <w:rsid w:val="1B894436"/>
    <w:rsid w:val="1B8C17D0"/>
    <w:rsid w:val="1BBF79CA"/>
    <w:rsid w:val="1BCA73E7"/>
    <w:rsid w:val="1BE34A83"/>
    <w:rsid w:val="1BE44D83"/>
    <w:rsid w:val="1BE77401"/>
    <w:rsid w:val="1BEF23F9"/>
    <w:rsid w:val="1C11383D"/>
    <w:rsid w:val="1C347C36"/>
    <w:rsid w:val="1C543BBE"/>
    <w:rsid w:val="1C56394D"/>
    <w:rsid w:val="1C6E3BE7"/>
    <w:rsid w:val="1C7708FF"/>
    <w:rsid w:val="1C8A0713"/>
    <w:rsid w:val="1CE03FDA"/>
    <w:rsid w:val="1CE81E2C"/>
    <w:rsid w:val="1D125821"/>
    <w:rsid w:val="1D4377EA"/>
    <w:rsid w:val="1D4F1B54"/>
    <w:rsid w:val="1D7D46FA"/>
    <w:rsid w:val="1D996BE3"/>
    <w:rsid w:val="1DF42EC3"/>
    <w:rsid w:val="1E155469"/>
    <w:rsid w:val="1E2C38FC"/>
    <w:rsid w:val="1E5E59FC"/>
    <w:rsid w:val="1E6600E5"/>
    <w:rsid w:val="1E6D0AAD"/>
    <w:rsid w:val="1E752812"/>
    <w:rsid w:val="1E8C222C"/>
    <w:rsid w:val="1E9C4A92"/>
    <w:rsid w:val="1EC24491"/>
    <w:rsid w:val="1ED1546F"/>
    <w:rsid w:val="1EF45DBC"/>
    <w:rsid w:val="1F004D05"/>
    <w:rsid w:val="1F36627B"/>
    <w:rsid w:val="1F38412F"/>
    <w:rsid w:val="1F550666"/>
    <w:rsid w:val="1F610893"/>
    <w:rsid w:val="1F6B6AFD"/>
    <w:rsid w:val="1F7E7117"/>
    <w:rsid w:val="1F9B55CD"/>
    <w:rsid w:val="1FAA4BFD"/>
    <w:rsid w:val="1FBC4D96"/>
    <w:rsid w:val="1FFD7B7D"/>
    <w:rsid w:val="200646E4"/>
    <w:rsid w:val="200D4875"/>
    <w:rsid w:val="20490C06"/>
    <w:rsid w:val="204C4118"/>
    <w:rsid w:val="20542074"/>
    <w:rsid w:val="206213E6"/>
    <w:rsid w:val="206F5B77"/>
    <w:rsid w:val="2081017E"/>
    <w:rsid w:val="209F0ED8"/>
    <w:rsid w:val="209F6DA8"/>
    <w:rsid w:val="20B54FFA"/>
    <w:rsid w:val="20CB5C8C"/>
    <w:rsid w:val="20DA60D1"/>
    <w:rsid w:val="214A1F05"/>
    <w:rsid w:val="217A3AFC"/>
    <w:rsid w:val="21887860"/>
    <w:rsid w:val="219B5DF4"/>
    <w:rsid w:val="21AF56D1"/>
    <w:rsid w:val="21C1735E"/>
    <w:rsid w:val="21E03D77"/>
    <w:rsid w:val="21F2034B"/>
    <w:rsid w:val="220228DA"/>
    <w:rsid w:val="22582022"/>
    <w:rsid w:val="227F1EB0"/>
    <w:rsid w:val="22CD12BB"/>
    <w:rsid w:val="22D66BDB"/>
    <w:rsid w:val="22D74DBB"/>
    <w:rsid w:val="22F5632F"/>
    <w:rsid w:val="230F04C2"/>
    <w:rsid w:val="234C1DD4"/>
    <w:rsid w:val="237465D8"/>
    <w:rsid w:val="23780277"/>
    <w:rsid w:val="23956521"/>
    <w:rsid w:val="23A86AC5"/>
    <w:rsid w:val="23F44EA5"/>
    <w:rsid w:val="23F50A3D"/>
    <w:rsid w:val="23F645BB"/>
    <w:rsid w:val="23F81439"/>
    <w:rsid w:val="241A56F1"/>
    <w:rsid w:val="2448517A"/>
    <w:rsid w:val="24600DD6"/>
    <w:rsid w:val="24677D2A"/>
    <w:rsid w:val="24993FD3"/>
    <w:rsid w:val="24D85675"/>
    <w:rsid w:val="24DA52E1"/>
    <w:rsid w:val="24E00B3A"/>
    <w:rsid w:val="24EB311A"/>
    <w:rsid w:val="24FA51FC"/>
    <w:rsid w:val="251743A6"/>
    <w:rsid w:val="251950B8"/>
    <w:rsid w:val="254314F4"/>
    <w:rsid w:val="2586086C"/>
    <w:rsid w:val="259746CC"/>
    <w:rsid w:val="25BC4D06"/>
    <w:rsid w:val="25C3353B"/>
    <w:rsid w:val="25ED28D9"/>
    <w:rsid w:val="25F137D6"/>
    <w:rsid w:val="26077361"/>
    <w:rsid w:val="2629013D"/>
    <w:rsid w:val="2629649A"/>
    <w:rsid w:val="26396D86"/>
    <w:rsid w:val="263B0CF3"/>
    <w:rsid w:val="2683287C"/>
    <w:rsid w:val="26916E69"/>
    <w:rsid w:val="26B60A08"/>
    <w:rsid w:val="26DD4A6C"/>
    <w:rsid w:val="26E0690B"/>
    <w:rsid w:val="270520B9"/>
    <w:rsid w:val="27057015"/>
    <w:rsid w:val="27094203"/>
    <w:rsid w:val="270A2997"/>
    <w:rsid w:val="27172EB4"/>
    <w:rsid w:val="274D29C9"/>
    <w:rsid w:val="275A4B5F"/>
    <w:rsid w:val="27676FFF"/>
    <w:rsid w:val="279750ED"/>
    <w:rsid w:val="27A45F32"/>
    <w:rsid w:val="27AB01F3"/>
    <w:rsid w:val="27B3371C"/>
    <w:rsid w:val="27DE0B37"/>
    <w:rsid w:val="27F9464D"/>
    <w:rsid w:val="27FC67B3"/>
    <w:rsid w:val="282004AF"/>
    <w:rsid w:val="282D1613"/>
    <w:rsid w:val="283908D5"/>
    <w:rsid w:val="283952BB"/>
    <w:rsid w:val="283C0B3F"/>
    <w:rsid w:val="284321AC"/>
    <w:rsid w:val="28610FC6"/>
    <w:rsid w:val="286D7BBE"/>
    <w:rsid w:val="28A14209"/>
    <w:rsid w:val="28D02B8C"/>
    <w:rsid w:val="28EB6BAD"/>
    <w:rsid w:val="29194C9B"/>
    <w:rsid w:val="29266B38"/>
    <w:rsid w:val="29332082"/>
    <w:rsid w:val="295427AB"/>
    <w:rsid w:val="298F0C53"/>
    <w:rsid w:val="299B7DC5"/>
    <w:rsid w:val="29A502F2"/>
    <w:rsid w:val="29BA5540"/>
    <w:rsid w:val="29D670EB"/>
    <w:rsid w:val="29E42D4E"/>
    <w:rsid w:val="2A50422A"/>
    <w:rsid w:val="2A5A4B9D"/>
    <w:rsid w:val="2A5E1848"/>
    <w:rsid w:val="2A66678A"/>
    <w:rsid w:val="2ACF067E"/>
    <w:rsid w:val="2B107492"/>
    <w:rsid w:val="2B3B7C1C"/>
    <w:rsid w:val="2B444260"/>
    <w:rsid w:val="2B507670"/>
    <w:rsid w:val="2B67670E"/>
    <w:rsid w:val="2B8F1F4F"/>
    <w:rsid w:val="2B917CD2"/>
    <w:rsid w:val="2B9628F1"/>
    <w:rsid w:val="2BAD7793"/>
    <w:rsid w:val="2BBA77B8"/>
    <w:rsid w:val="2BCA7DBB"/>
    <w:rsid w:val="2BD02B38"/>
    <w:rsid w:val="2BED0E79"/>
    <w:rsid w:val="2C096782"/>
    <w:rsid w:val="2C26141E"/>
    <w:rsid w:val="2C333916"/>
    <w:rsid w:val="2C476EE0"/>
    <w:rsid w:val="2C6E091F"/>
    <w:rsid w:val="2C790B31"/>
    <w:rsid w:val="2CA66129"/>
    <w:rsid w:val="2CAF27B4"/>
    <w:rsid w:val="2CC54E70"/>
    <w:rsid w:val="2CC73C37"/>
    <w:rsid w:val="2CEF7329"/>
    <w:rsid w:val="2CFF23AD"/>
    <w:rsid w:val="2D3853C8"/>
    <w:rsid w:val="2D6376F4"/>
    <w:rsid w:val="2D684E1E"/>
    <w:rsid w:val="2D7818C9"/>
    <w:rsid w:val="2D811108"/>
    <w:rsid w:val="2DBD47BB"/>
    <w:rsid w:val="2DD63665"/>
    <w:rsid w:val="2DDF0340"/>
    <w:rsid w:val="2DF2732F"/>
    <w:rsid w:val="2DF3790A"/>
    <w:rsid w:val="2DF901F0"/>
    <w:rsid w:val="2E2912DF"/>
    <w:rsid w:val="2E416901"/>
    <w:rsid w:val="2E617143"/>
    <w:rsid w:val="2E956B23"/>
    <w:rsid w:val="2E9A62AA"/>
    <w:rsid w:val="2E9F6A17"/>
    <w:rsid w:val="2EA035DC"/>
    <w:rsid w:val="2ED210C0"/>
    <w:rsid w:val="2EDB682E"/>
    <w:rsid w:val="2EF044BC"/>
    <w:rsid w:val="2F3E1C8F"/>
    <w:rsid w:val="2F466A74"/>
    <w:rsid w:val="2F4E5768"/>
    <w:rsid w:val="2F6B5608"/>
    <w:rsid w:val="2F8519B4"/>
    <w:rsid w:val="2F853468"/>
    <w:rsid w:val="2F875331"/>
    <w:rsid w:val="2FBA3ECA"/>
    <w:rsid w:val="2FDD497A"/>
    <w:rsid w:val="2FEF4069"/>
    <w:rsid w:val="301850A8"/>
    <w:rsid w:val="307A513C"/>
    <w:rsid w:val="307A6A4C"/>
    <w:rsid w:val="309527F9"/>
    <w:rsid w:val="30B97F88"/>
    <w:rsid w:val="30C13155"/>
    <w:rsid w:val="30C602F4"/>
    <w:rsid w:val="30C70A55"/>
    <w:rsid w:val="30D51EDC"/>
    <w:rsid w:val="315903CA"/>
    <w:rsid w:val="319F74C3"/>
    <w:rsid w:val="31A16C56"/>
    <w:rsid w:val="31BB6996"/>
    <w:rsid w:val="31BD0F21"/>
    <w:rsid w:val="31E24806"/>
    <w:rsid w:val="31FD0923"/>
    <w:rsid w:val="32102610"/>
    <w:rsid w:val="32182A3F"/>
    <w:rsid w:val="32243349"/>
    <w:rsid w:val="324E5959"/>
    <w:rsid w:val="329170E5"/>
    <w:rsid w:val="329D6467"/>
    <w:rsid w:val="32A66535"/>
    <w:rsid w:val="32AD5DF2"/>
    <w:rsid w:val="32BA22F9"/>
    <w:rsid w:val="32C57EA0"/>
    <w:rsid w:val="32D6190C"/>
    <w:rsid w:val="32F97D87"/>
    <w:rsid w:val="33070513"/>
    <w:rsid w:val="33135C88"/>
    <w:rsid w:val="334576D1"/>
    <w:rsid w:val="33465360"/>
    <w:rsid w:val="338A7C9C"/>
    <w:rsid w:val="33B650F0"/>
    <w:rsid w:val="33CC4E8A"/>
    <w:rsid w:val="33FF67A5"/>
    <w:rsid w:val="340A3F7B"/>
    <w:rsid w:val="341B7BED"/>
    <w:rsid w:val="343A5237"/>
    <w:rsid w:val="34483224"/>
    <w:rsid w:val="345B3C59"/>
    <w:rsid w:val="345F3BB1"/>
    <w:rsid w:val="348F5747"/>
    <w:rsid w:val="3492284C"/>
    <w:rsid w:val="34AE5ED9"/>
    <w:rsid w:val="34B764DB"/>
    <w:rsid w:val="34BD6D7E"/>
    <w:rsid w:val="34C37EDD"/>
    <w:rsid w:val="34E16745"/>
    <w:rsid w:val="34E17AE5"/>
    <w:rsid w:val="35076FA0"/>
    <w:rsid w:val="353A4F98"/>
    <w:rsid w:val="355B0A1D"/>
    <w:rsid w:val="357068E8"/>
    <w:rsid w:val="35817F56"/>
    <w:rsid w:val="359A3768"/>
    <w:rsid w:val="35A5476A"/>
    <w:rsid w:val="35B41228"/>
    <w:rsid w:val="35C93BEC"/>
    <w:rsid w:val="35EC34FC"/>
    <w:rsid w:val="3628292A"/>
    <w:rsid w:val="362A7A9C"/>
    <w:rsid w:val="36325066"/>
    <w:rsid w:val="365B3BC6"/>
    <w:rsid w:val="36616E97"/>
    <w:rsid w:val="368461DC"/>
    <w:rsid w:val="368D284B"/>
    <w:rsid w:val="36B66C52"/>
    <w:rsid w:val="36BC4EE6"/>
    <w:rsid w:val="36CF6A23"/>
    <w:rsid w:val="36F97663"/>
    <w:rsid w:val="371C259D"/>
    <w:rsid w:val="37827099"/>
    <w:rsid w:val="37A704D7"/>
    <w:rsid w:val="37A778DB"/>
    <w:rsid w:val="37AE480D"/>
    <w:rsid w:val="37B059E1"/>
    <w:rsid w:val="37B77CF4"/>
    <w:rsid w:val="37C0261A"/>
    <w:rsid w:val="37CC3488"/>
    <w:rsid w:val="37DC1FE5"/>
    <w:rsid w:val="37DF7076"/>
    <w:rsid w:val="37F4158E"/>
    <w:rsid w:val="380C6740"/>
    <w:rsid w:val="38305D20"/>
    <w:rsid w:val="38357E06"/>
    <w:rsid w:val="386714A6"/>
    <w:rsid w:val="387B7D47"/>
    <w:rsid w:val="387C093B"/>
    <w:rsid w:val="388B58B0"/>
    <w:rsid w:val="38DE61C5"/>
    <w:rsid w:val="38E33E48"/>
    <w:rsid w:val="38F8190D"/>
    <w:rsid w:val="3914277D"/>
    <w:rsid w:val="391D2735"/>
    <w:rsid w:val="391D56CD"/>
    <w:rsid w:val="392142DB"/>
    <w:rsid w:val="392F225F"/>
    <w:rsid w:val="392F5336"/>
    <w:rsid w:val="3974781B"/>
    <w:rsid w:val="39750A85"/>
    <w:rsid w:val="398551C7"/>
    <w:rsid w:val="398C01EE"/>
    <w:rsid w:val="39963FCB"/>
    <w:rsid w:val="39B17F7D"/>
    <w:rsid w:val="39D16A4D"/>
    <w:rsid w:val="39FA50CD"/>
    <w:rsid w:val="3A0062DE"/>
    <w:rsid w:val="3A2E1A32"/>
    <w:rsid w:val="3A3E781C"/>
    <w:rsid w:val="3A527047"/>
    <w:rsid w:val="3A792E92"/>
    <w:rsid w:val="3A8B5A36"/>
    <w:rsid w:val="3AB26EEC"/>
    <w:rsid w:val="3AC75223"/>
    <w:rsid w:val="3ACC0D26"/>
    <w:rsid w:val="3AE10342"/>
    <w:rsid w:val="3B0112B9"/>
    <w:rsid w:val="3B091ED1"/>
    <w:rsid w:val="3B3467FD"/>
    <w:rsid w:val="3B8238F9"/>
    <w:rsid w:val="3B936FB6"/>
    <w:rsid w:val="3BA64F9D"/>
    <w:rsid w:val="3BB52E89"/>
    <w:rsid w:val="3BC63A7A"/>
    <w:rsid w:val="3BF475D7"/>
    <w:rsid w:val="3BF641E8"/>
    <w:rsid w:val="3C0A22B9"/>
    <w:rsid w:val="3C0C25F8"/>
    <w:rsid w:val="3C1A41CD"/>
    <w:rsid w:val="3C20052E"/>
    <w:rsid w:val="3C3F3C1D"/>
    <w:rsid w:val="3C4B7C42"/>
    <w:rsid w:val="3C5814DC"/>
    <w:rsid w:val="3C5A0570"/>
    <w:rsid w:val="3CC4316B"/>
    <w:rsid w:val="3CF527D8"/>
    <w:rsid w:val="3D2D14DC"/>
    <w:rsid w:val="3D554D9E"/>
    <w:rsid w:val="3D5A631C"/>
    <w:rsid w:val="3D5D227D"/>
    <w:rsid w:val="3D8C57FA"/>
    <w:rsid w:val="3D9D3318"/>
    <w:rsid w:val="3DA86DB8"/>
    <w:rsid w:val="3DBC533A"/>
    <w:rsid w:val="3DC5463D"/>
    <w:rsid w:val="3E672C08"/>
    <w:rsid w:val="3E857F64"/>
    <w:rsid w:val="3E9614DB"/>
    <w:rsid w:val="3EA41AE9"/>
    <w:rsid w:val="3EB04EB6"/>
    <w:rsid w:val="3EC000EA"/>
    <w:rsid w:val="3ECA57BD"/>
    <w:rsid w:val="3EDF54B0"/>
    <w:rsid w:val="3EEF363A"/>
    <w:rsid w:val="3F092972"/>
    <w:rsid w:val="3F0D07F0"/>
    <w:rsid w:val="3F0F7AB6"/>
    <w:rsid w:val="3F4308CE"/>
    <w:rsid w:val="3F630FCD"/>
    <w:rsid w:val="3F7F04AF"/>
    <w:rsid w:val="3F814CE0"/>
    <w:rsid w:val="3F8E7F7A"/>
    <w:rsid w:val="3F945AB7"/>
    <w:rsid w:val="3FC24AC1"/>
    <w:rsid w:val="40083A1B"/>
    <w:rsid w:val="40163481"/>
    <w:rsid w:val="401F01A1"/>
    <w:rsid w:val="402710CB"/>
    <w:rsid w:val="40443A4D"/>
    <w:rsid w:val="40943A55"/>
    <w:rsid w:val="40AF12DF"/>
    <w:rsid w:val="40EC5109"/>
    <w:rsid w:val="41075372"/>
    <w:rsid w:val="413B2369"/>
    <w:rsid w:val="41452CAF"/>
    <w:rsid w:val="4145599C"/>
    <w:rsid w:val="41587D5D"/>
    <w:rsid w:val="418F29FF"/>
    <w:rsid w:val="41E043E3"/>
    <w:rsid w:val="41E31A42"/>
    <w:rsid w:val="41FC5E76"/>
    <w:rsid w:val="421E4432"/>
    <w:rsid w:val="425706EB"/>
    <w:rsid w:val="425E3D85"/>
    <w:rsid w:val="427F1660"/>
    <w:rsid w:val="4284294A"/>
    <w:rsid w:val="42A6770F"/>
    <w:rsid w:val="42CA2936"/>
    <w:rsid w:val="42D412DE"/>
    <w:rsid w:val="42EA3A1C"/>
    <w:rsid w:val="43007E74"/>
    <w:rsid w:val="436F50E2"/>
    <w:rsid w:val="437B19F5"/>
    <w:rsid w:val="439D2522"/>
    <w:rsid w:val="43A035C9"/>
    <w:rsid w:val="43E26004"/>
    <w:rsid w:val="440519FA"/>
    <w:rsid w:val="442E2E7F"/>
    <w:rsid w:val="44D85C9D"/>
    <w:rsid w:val="44FC4EA4"/>
    <w:rsid w:val="44FE1EBC"/>
    <w:rsid w:val="45263295"/>
    <w:rsid w:val="45295842"/>
    <w:rsid w:val="453E4C3B"/>
    <w:rsid w:val="454849B3"/>
    <w:rsid w:val="45967F1C"/>
    <w:rsid w:val="45B66A18"/>
    <w:rsid w:val="45C31F31"/>
    <w:rsid w:val="45C4374C"/>
    <w:rsid w:val="45D81ECE"/>
    <w:rsid w:val="45F3315B"/>
    <w:rsid w:val="45F64B96"/>
    <w:rsid w:val="460A22C0"/>
    <w:rsid w:val="46631869"/>
    <w:rsid w:val="466F09D8"/>
    <w:rsid w:val="468A0E52"/>
    <w:rsid w:val="46A92AB5"/>
    <w:rsid w:val="46B538D0"/>
    <w:rsid w:val="46C475A6"/>
    <w:rsid w:val="46D350B3"/>
    <w:rsid w:val="46D44771"/>
    <w:rsid w:val="46EF68BB"/>
    <w:rsid w:val="470311E8"/>
    <w:rsid w:val="472130F7"/>
    <w:rsid w:val="473E7B06"/>
    <w:rsid w:val="47516A7B"/>
    <w:rsid w:val="47550CDA"/>
    <w:rsid w:val="475541AC"/>
    <w:rsid w:val="47656477"/>
    <w:rsid w:val="479137F8"/>
    <w:rsid w:val="47BB21E2"/>
    <w:rsid w:val="47CC4058"/>
    <w:rsid w:val="47F21C06"/>
    <w:rsid w:val="47F530DE"/>
    <w:rsid w:val="47FD35E4"/>
    <w:rsid w:val="485B77DC"/>
    <w:rsid w:val="48BB669E"/>
    <w:rsid w:val="48DF3929"/>
    <w:rsid w:val="48EF239D"/>
    <w:rsid w:val="490D6346"/>
    <w:rsid w:val="49122C00"/>
    <w:rsid w:val="4948060B"/>
    <w:rsid w:val="494A7D10"/>
    <w:rsid w:val="496C6B35"/>
    <w:rsid w:val="49B56977"/>
    <w:rsid w:val="49C6694D"/>
    <w:rsid w:val="4A256B30"/>
    <w:rsid w:val="4A347A9C"/>
    <w:rsid w:val="4A546181"/>
    <w:rsid w:val="4A5C1B35"/>
    <w:rsid w:val="4A5D0753"/>
    <w:rsid w:val="4A5D14F5"/>
    <w:rsid w:val="4ABA7BA3"/>
    <w:rsid w:val="4ADA1740"/>
    <w:rsid w:val="4BA12668"/>
    <w:rsid w:val="4BA31B12"/>
    <w:rsid w:val="4BB9589C"/>
    <w:rsid w:val="4BBA35CB"/>
    <w:rsid w:val="4BC24AEF"/>
    <w:rsid w:val="4BCD0C45"/>
    <w:rsid w:val="4BD51378"/>
    <w:rsid w:val="4BE12D32"/>
    <w:rsid w:val="4C2867DE"/>
    <w:rsid w:val="4C4026F1"/>
    <w:rsid w:val="4C5E14CF"/>
    <w:rsid w:val="4C8F3379"/>
    <w:rsid w:val="4C9E254C"/>
    <w:rsid w:val="4CA16CBF"/>
    <w:rsid w:val="4CA24038"/>
    <w:rsid w:val="4CD647C5"/>
    <w:rsid w:val="4CFB52E7"/>
    <w:rsid w:val="4D044AC0"/>
    <w:rsid w:val="4D046518"/>
    <w:rsid w:val="4D0E3E9A"/>
    <w:rsid w:val="4D2228FB"/>
    <w:rsid w:val="4D2343FE"/>
    <w:rsid w:val="4D432D53"/>
    <w:rsid w:val="4D5B4D94"/>
    <w:rsid w:val="4D6C59EB"/>
    <w:rsid w:val="4D6D3A44"/>
    <w:rsid w:val="4D777C67"/>
    <w:rsid w:val="4D8D199A"/>
    <w:rsid w:val="4DC35961"/>
    <w:rsid w:val="4DDE45E6"/>
    <w:rsid w:val="4DE07C59"/>
    <w:rsid w:val="4E0A135E"/>
    <w:rsid w:val="4E37495B"/>
    <w:rsid w:val="4E452C84"/>
    <w:rsid w:val="4E4C7E50"/>
    <w:rsid w:val="4E5D29A3"/>
    <w:rsid w:val="4E6274FB"/>
    <w:rsid w:val="4E6F6F5A"/>
    <w:rsid w:val="4F091F14"/>
    <w:rsid w:val="4F0948C8"/>
    <w:rsid w:val="4F813751"/>
    <w:rsid w:val="4FA9305D"/>
    <w:rsid w:val="4FB7062C"/>
    <w:rsid w:val="4FD85E1F"/>
    <w:rsid w:val="4FDE458C"/>
    <w:rsid w:val="50020EF5"/>
    <w:rsid w:val="5036722B"/>
    <w:rsid w:val="504176B5"/>
    <w:rsid w:val="505960E1"/>
    <w:rsid w:val="507F08E8"/>
    <w:rsid w:val="50854CBB"/>
    <w:rsid w:val="509E74F1"/>
    <w:rsid w:val="50CB38A6"/>
    <w:rsid w:val="50FF61CD"/>
    <w:rsid w:val="510734B3"/>
    <w:rsid w:val="5117284C"/>
    <w:rsid w:val="512D7E94"/>
    <w:rsid w:val="514245BE"/>
    <w:rsid w:val="517866B2"/>
    <w:rsid w:val="51B250A4"/>
    <w:rsid w:val="51B904EC"/>
    <w:rsid w:val="51D053A8"/>
    <w:rsid w:val="52093425"/>
    <w:rsid w:val="520E3DD0"/>
    <w:rsid w:val="522053F8"/>
    <w:rsid w:val="52455AAA"/>
    <w:rsid w:val="5255363E"/>
    <w:rsid w:val="526C4FE1"/>
    <w:rsid w:val="526E0E92"/>
    <w:rsid w:val="52706BA5"/>
    <w:rsid w:val="52BC343B"/>
    <w:rsid w:val="52C93F61"/>
    <w:rsid w:val="52E40F2A"/>
    <w:rsid w:val="52E9033F"/>
    <w:rsid w:val="52EC626A"/>
    <w:rsid w:val="52F76DF7"/>
    <w:rsid w:val="52F84AA4"/>
    <w:rsid w:val="52F92923"/>
    <w:rsid w:val="53280B79"/>
    <w:rsid w:val="53286F56"/>
    <w:rsid w:val="53311AD2"/>
    <w:rsid w:val="53514405"/>
    <w:rsid w:val="53532AC2"/>
    <w:rsid w:val="53997F39"/>
    <w:rsid w:val="539A768F"/>
    <w:rsid w:val="53A46497"/>
    <w:rsid w:val="53D971CA"/>
    <w:rsid w:val="53ED274B"/>
    <w:rsid w:val="54100927"/>
    <w:rsid w:val="54112AD4"/>
    <w:rsid w:val="542C5141"/>
    <w:rsid w:val="543876EF"/>
    <w:rsid w:val="545662D6"/>
    <w:rsid w:val="54664B37"/>
    <w:rsid w:val="546F3C76"/>
    <w:rsid w:val="54724E93"/>
    <w:rsid w:val="54771F2F"/>
    <w:rsid w:val="54ED6E78"/>
    <w:rsid w:val="54F9168C"/>
    <w:rsid w:val="55061C72"/>
    <w:rsid w:val="55142979"/>
    <w:rsid w:val="55414628"/>
    <w:rsid w:val="55D75AC3"/>
    <w:rsid w:val="55E747B5"/>
    <w:rsid w:val="55EA3666"/>
    <w:rsid w:val="55FE4750"/>
    <w:rsid w:val="56116789"/>
    <w:rsid w:val="562158D2"/>
    <w:rsid w:val="5659092D"/>
    <w:rsid w:val="56691A95"/>
    <w:rsid w:val="566B241C"/>
    <w:rsid w:val="566D1AF3"/>
    <w:rsid w:val="568B05A0"/>
    <w:rsid w:val="568C2E1D"/>
    <w:rsid w:val="56995781"/>
    <w:rsid w:val="56C67D35"/>
    <w:rsid w:val="56CF59E0"/>
    <w:rsid w:val="570C57E5"/>
    <w:rsid w:val="573920A1"/>
    <w:rsid w:val="57410705"/>
    <w:rsid w:val="579B49E6"/>
    <w:rsid w:val="57A81115"/>
    <w:rsid w:val="57C64A56"/>
    <w:rsid w:val="57C83573"/>
    <w:rsid w:val="57C86B96"/>
    <w:rsid w:val="57DC45F2"/>
    <w:rsid w:val="58180BAC"/>
    <w:rsid w:val="581A4F97"/>
    <w:rsid w:val="58975875"/>
    <w:rsid w:val="58C206EA"/>
    <w:rsid w:val="58DD14BA"/>
    <w:rsid w:val="58DE379B"/>
    <w:rsid w:val="58E46A2D"/>
    <w:rsid w:val="591C344B"/>
    <w:rsid w:val="592F51AC"/>
    <w:rsid w:val="59380689"/>
    <w:rsid w:val="594840D2"/>
    <w:rsid w:val="59592104"/>
    <w:rsid w:val="597169FF"/>
    <w:rsid w:val="59810AED"/>
    <w:rsid w:val="59885C6C"/>
    <w:rsid w:val="59906800"/>
    <w:rsid w:val="59C0610C"/>
    <w:rsid w:val="59D659F4"/>
    <w:rsid w:val="59EF4030"/>
    <w:rsid w:val="5A021C43"/>
    <w:rsid w:val="5A0D5404"/>
    <w:rsid w:val="5A140846"/>
    <w:rsid w:val="5A184274"/>
    <w:rsid w:val="5A2A5014"/>
    <w:rsid w:val="5A5340CC"/>
    <w:rsid w:val="5A5F27C5"/>
    <w:rsid w:val="5A6C65B4"/>
    <w:rsid w:val="5A6D0665"/>
    <w:rsid w:val="5A763EBE"/>
    <w:rsid w:val="5A944982"/>
    <w:rsid w:val="5A957463"/>
    <w:rsid w:val="5AA0660A"/>
    <w:rsid w:val="5AA259C7"/>
    <w:rsid w:val="5ABC7A34"/>
    <w:rsid w:val="5AE44FEF"/>
    <w:rsid w:val="5AFF2BCF"/>
    <w:rsid w:val="5B2C5A0E"/>
    <w:rsid w:val="5B2E0B1E"/>
    <w:rsid w:val="5B353FF7"/>
    <w:rsid w:val="5BB809C1"/>
    <w:rsid w:val="5BC1753B"/>
    <w:rsid w:val="5BDE5E72"/>
    <w:rsid w:val="5BF93A72"/>
    <w:rsid w:val="5C4B4617"/>
    <w:rsid w:val="5C6249F7"/>
    <w:rsid w:val="5C662F5F"/>
    <w:rsid w:val="5C6E7D2F"/>
    <w:rsid w:val="5C912B17"/>
    <w:rsid w:val="5C97508B"/>
    <w:rsid w:val="5CA213CC"/>
    <w:rsid w:val="5CAB7B07"/>
    <w:rsid w:val="5CB0021D"/>
    <w:rsid w:val="5CCA5E3C"/>
    <w:rsid w:val="5CD31F62"/>
    <w:rsid w:val="5CD504B3"/>
    <w:rsid w:val="5D271933"/>
    <w:rsid w:val="5D583F20"/>
    <w:rsid w:val="5D8D149A"/>
    <w:rsid w:val="5E033D13"/>
    <w:rsid w:val="5E1473D2"/>
    <w:rsid w:val="5E2F5F65"/>
    <w:rsid w:val="5E362FEF"/>
    <w:rsid w:val="5E6965A9"/>
    <w:rsid w:val="5EB376AE"/>
    <w:rsid w:val="5EEC7BFA"/>
    <w:rsid w:val="5EF914F7"/>
    <w:rsid w:val="5F070816"/>
    <w:rsid w:val="5F184F69"/>
    <w:rsid w:val="5F193788"/>
    <w:rsid w:val="5F2A4A9B"/>
    <w:rsid w:val="5F45081F"/>
    <w:rsid w:val="5F494E7F"/>
    <w:rsid w:val="5F8F2246"/>
    <w:rsid w:val="5F931F71"/>
    <w:rsid w:val="5FAB62F0"/>
    <w:rsid w:val="5FD62CD5"/>
    <w:rsid w:val="5FED51F8"/>
    <w:rsid w:val="5FF02182"/>
    <w:rsid w:val="60623C5A"/>
    <w:rsid w:val="60876A3B"/>
    <w:rsid w:val="60B15B53"/>
    <w:rsid w:val="60CD2A4C"/>
    <w:rsid w:val="610D264B"/>
    <w:rsid w:val="61252317"/>
    <w:rsid w:val="615332C4"/>
    <w:rsid w:val="615474BD"/>
    <w:rsid w:val="619C61A3"/>
    <w:rsid w:val="61C42849"/>
    <w:rsid w:val="61D4100B"/>
    <w:rsid w:val="61F95BA7"/>
    <w:rsid w:val="620C1BB1"/>
    <w:rsid w:val="622B5312"/>
    <w:rsid w:val="6244796B"/>
    <w:rsid w:val="624A4975"/>
    <w:rsid w:val="62505A76"/>
    <w:rsid w:val="625645F0"/>
    <w:rsid w:val="625E22E5"/>
    <w:rsid w:val="62704B99"/>
    <w:rsid w:val="629466B5"/>
    <w:rsid w:val="62A35929"/>
    <w:rsid w:val="62DA233A"/>
    <w:rsid w:val="62DB232B"/>
    <w:rsid w:val="63511957"/>
    <w:rsid w:val="635D7878"/>
    <w:rsid w:val="6366771F"/>
    <w:rsid w:val="638D3CCD"/>
    <w:rsid w:val="63B9183B"/>
    <w:rsid w:val="63E86794"/>
    <w:rsid w:val="64161291"/>
    <w:rsid w:val="64204D3A"/>
    <w:rsid w:val="642F46AF"/>
    <w:rsid w:val="64317F43"/>
    <w:rsid w:val="64475207"/>
    <w:rsid w:val="645C5F03"/>
    <w:rsid w:val="64665353"/>
    <w:rsid w:val="64743927"/>
    <w:rsid w:val="648811A6"/>
    <w:rsid w:val="64D06A74"/>
    <w:rsid w:val="64D544A6"/>
    <w:rsid w:val="64EB1146"/>
    <w:rsid w:val="652E7EE0"/>
    <w:rsid w:val="653072E3"/>
    <w:rsid w:val="6543772C"/>
    <w:rsid w:val="65550345"/>
    <w:rsid w:val="655D44FD"/>
    <w:rsid w:val="657C6F6B"/>
    <w:rsid w:val="65D11691"/>
    <w:rsid w:val="65E211D3"/>
    <w:rsid w:val="65E926CD"/>
    <w:rsid w:val="66286747"/>
    <w:rsid w:val="662C5031"/>
    <w:rsid w:val="66410D53"/>
    <w:rsid w:val="66540CA0"/>
    <w:rsid w:val="666F0E26"/>
    <w:rsid w:val="66907F9D"/>
    <w:rsid w:val="66943ECC"/>
    <w:rsid w:val="66970908"/>
    <w:rsid w:val="669B071B"/>
    <w:rsid w:val="66A42546"/>
    <w:rsid w:val="671831F1"/>
    <w:rsid w:val="677217B0"/>
    <w:rsid w:val="67F404A2"/>
    <w:rsid w:val="68511D1D"/>
    <w:rsid w:val="686B2AE3"/>
    <w:rsid w:val="68747066"/>
    <w:rsid w:val="689A3D74"/>
    <w:rsid w:val="68A76367"/>
    <w:rsid w:val="68AB112B"/>
    <w:rsid w:val="69011E17"/>
    <w:rsid w:val="69257710"/>
    <w:rsid w:val="6946731A"/>
    <w:rsid w:val="695776A3"/>
    <w:rsid w:val="69725403"/>
    <w:rsid w:val="69A51BE1"/>
    <w:rsid w:val="69A75C75"/>
    <w:rsid w:val="69B72D24"/>
    <w:rsid w:val="69E270EF"/>
    <w:rsid w:val="69F7628A"/>
    <w:rsid w:val="6A421FE1"/>
    <w:rsid w:val="6A5D3C86"/>
    <w:rsid w:val="6A7A76E3"/>
    <w:rsid w:val="6AB8775E"/>
    <w:rsid w:val="6AC26541"/>
    <w:rsid w:val="6AE43D56"/>
    <w:rsid w:val="6B2B095A"/>
    <w:rsid w:val="6B5768C6"/>
    <w:rsid w:val="6B8665F0"/>
    <w:rsid w:val="6B9F228A"/>
    <w:rsid w:val="6BC069ED"/>
    <w:rsid w:val="6C00524C"/>
    <w:rsid w:val="6C5D018A"/>
    <w:rsid w:val="6C6D6410"/>
    <w:rsid w:val="6C716391"/>
    <w:rsid w:val="6C7A2EAE"/>
    <w:rsid w:val="6C81008F"/>
    <w:rsid w:val="6C993DF3"/>
    <w:rsid w:val="6CAB72D4"/>
    <w:rsid w:val="6CD3411E"/>
    <w:rsid w:val="6D135B2D"/>
    <w:rsid w:val="6D180C6D"/>
    <w:rsid w:val="6D1B4472"/>
    <w:rsid w:val="6D1E26B4"/>
    <w:rsid w:val="6D3E6016"/>
    <w:rsid w:val="6D4E7707"/>
    <w:rsid w:val="6D7A3688"/>
    <w:rsid w:val="6D852DA7"/>
    <w:rsid w:val="6D9112B5"/>
    <w:rsid w:val="6DA20CDB"/>
    <w:rsid w:val="6DB44F2C"/>
    <w:rsid w:val="6DEE0308"/>
    <w:rsid w:val="6DEE213B"/>
    <w:rsid w:val="6DF91750"/>
    <w:rsid w:val="6E006408"/>
    <w:rsid w:val="6E1E05FF"/>
    <w:rsid w:val="6E29286B"/>
    <w:rsid w:val="6E346101"/>
    <w:rsid w:val="6E55045E"/>
    <w:rsid w:val="6E634193"/>
    <w:rsid w:val="6E7D7667"/>
    <w:rsid w:val="6E8E3FB5"/>
    <w:rsid w:val="6E911358"/>
    <w:rsid w:val="6E9472B9"/>
    <w:rsid w:val="6EAA20F9"/>
    <w:rsid w:val="6EB52C14"/>
    <w:rsid w:val="6EC01EC8"/>
    <w:rsid w:val="6EDD6C00"/>
    <w:rsid w:val="6F1F33D0"/>
    <w:rsid w:val="6F203F41"/>
    <w:rsid w:val="6F2B7879"/>
    <w:rsid w:val="6F45367B"/>
    <w:rsid w:val="6F4A5403"/>
    <w:rsid w:val="6F4F38FB"/>
    <w:rsid w:val="6F6B1D87"/>
    <w:rsid w:val="6F7C53B6"/>
    <w:rsid w:val="6F967CC4"/>
    <w:rsid w:val="6FA02886"/>
    <w:rsid w:val="6FA16E8B"/>
    <w:rsid w:val="6FB83B23"/>
    <w:rsid w:val="6FDE544F"/>
    <w:rsid w:val="702A1D28"/>
    <w:rsid w:val="702C5835"/>
    <w:rsid w:val="702E3D4D"/>
    <w:rsid w:val="7049707F"/>
    <w:rsid w:val="706F4618"/>
    <w:rsid w:val="708236C2"/>
    <w:rsid w:val="70A13B1D"/>
    <w:rsid w:val="70B65178"/>
    <w:rsid w:val="70C41BAB"/>
    <w:rsid w:val="70E263AF"/>
    <w:rsid w:val="70EC56B4"/>
    <w:rsid w:val="70F5433C"/>
    <w:rsid w:val="712A33F2"/>
    <w:rsid w:val="71433B9B"/>
    <w:rsid w:val="7152792E"/>
    <w:rsid w:val="716A17C5"/>
    <w:rsid w:val="716C4AE1"/>
    <w:rsid w:val="71AF0B95"/>
    <w:rsid w:val="71EC0550"/>
    <w:rsid w:val="71FA4880"/>
    <w:rsid w:val="72025FA4"/>
    <w:rsid w:val="722D4521"/>
    <w:rsid w:val="72567B6E"/>
    <w:rsid w:val="727E276B"/>
    <w:rsid w:val="727F7619"/>
    <w:rsid w:val="728368D5"/>
    <w:rsid w:val="72903731"/>
    <w:rsid w:val="72C56777"/>
    <w:rsid w:val="72CC7C60"/>
    <w:rsid w:val="72E74A3B"/>
    <w:rsid w:val="72FB2A61"/>
    <w:rsid w:val="730137BD"/>
    <w:rsid w:val="732817C9"/>
    <w:rsid w:val="7329453A"/>
    <w:rsid w:val="73392D79"/>
    <w:rsid w:val="734E4B00"/>
    <w:rsid w:val="7354183B"/>
    <w:rsid w:val="737357C9"/>
    <w:rsid w:val="73782219"/>
    <w:rsid w:val="73A869D5"/>
    <w:rsid w:val="740548C1"/>
    <w:rsid w:val="7413412A"/>
    <w:rsid w:val="74313CC7"/>
    <w:rsid w:val="74314CAA"/>
    <w:rsid w:val="74600AC7"/>
    <w:rsid w:val="74620FDC"/>
    <w:rsid w:val="74656F25"/>
    <w:rsid w:val="74734E2D"/>
    <w:rsid w:val="74CC7837"/>
    <w:rsid w:val="74DD4732"/>
    <w:rsid w:val="74E14D68"/>
    <w:rsid w:val="75123F08"/>
    <w:rsid w:val="752C4DF9"/>
    <w:rsid w:val="753A273C"/>
    <w:rsid w:val="7555352D"/>
    <w:rsid w:val="75587864"/>
    <w:rsid w:val="75590311"/>
    <w:rsid w:val="755C39D5"/>
    <w:rsid w:val="7593151F"/>
    <w:rsid w:val="75C7701B"/>
    <w:rsid w:val="761270A9"/>
    <w:rsid w:val="76157426"/>
    <w:rsid w:val="761E35CF"/>
    <w:rsid w:val="76303C1E"/>
    <w:rsid w:val="763956C2"/>
    <w:rsid w:val="7648355F"/>
    <w:rsid w:val="764C5477"/>
    <w:rsid w:val="7653332A"/>
    <w:rsid w:val="76705ABB"/>
    <w:rsid w:val="7673370C"/>
    <w:rsid w:val="76770BA6"/>
    <w:rsid w:val="768A63BC"/>
    <w:rsid w:val="76941CD0"/>
    <w:rsid w:val="769C31C2"/>
    <w:rsid w:val="76B4125F"/>
    <w:rsid w:val="76E23F25"/>
    <w:rsid w:val="76E95EC7"/>
    <w:rsid w:val="76F054AE"/>
    <w:rsid w:val="76FE2B6D"/>
    <w:rsid w:val="770E557C"/>
    <w:rsid w:val="77132F9F"/>
    <w:rsid w:val="77381774"/>
    <w:rsid w:val="77600AAB"/>
    <w:rsid w:val="776315E5"/>
    <w:rsid w:val="776411CE"/>
    <w:rsid w:val="776463D7"/>
    <w:rsid w:val="777C2A56"/>
    <w:rsid w:val="77DC02BD"/>
    <w:rsid w:val="77F35EFF"/>
    <w:rsid w:val="7806490B"/>
    <w:rsid w:val="78AE54FC"/>
    <w:rsid w:val="78BF27D3"/>
    <w:rsid w:val="78D2486E"/>
    <w:rsid w:val="78FC06AE"/>
    <w:rsid w:val="78FC7D43"/>
    <w:rsid w:val="79152B8B"/>
    <w:rsid w:val="791A3753"/>
    <w:rsid w:val="791E190E"/>
    <w:rsid w:val="79435C50"/>
    <w:rsid w:val="797B2BA5"/>
    <w:rsid w:val="79891BD2"/>
    <w:rsid w:val="799B45DB"/>
    <w:rsid w:val="79A6596B"/>
    <w:rsid w:val="79C04FAA"/>
    <w:rsid w:val="79C32EF8"/>
    <w:rsid w:val="79CA57C6"/>
    <w:rsid w:val="7A014895"/>
    <w:rsid w:val="7A1D5E0E"/>
    <w:rsid w:val="7A421C0A"/>
    <w:rsid w:val="7A9B7D9D"/>
    <w:rsid w:val="7AB21A0D"/>
    <w:rsid w:val="7AB26175"/>
    <w:rsid w:val="7ABF7223"/>
    <w:rsid w:val="7AC3115D"/>
    <w:rsid w:val="7B0D3397"/>
    <w:rsid w:val="7B346939"/>
    <w:rsid w:val="7B3E38AB"/>
    <w:rsid w:val="7B457EEF"/>
    <w:rsid w:val="7B6E5EBF"/>
    <w:rsid w:val="7BA56E75"/>
    <w:rsid w:val="7BB12C6A"/>
    <w:rsid w:val="7BC237D2"/>
    <w:rsid w:val="7BD345DB"/>
    <w:rsid w:val="7BE24499"/>
    <w:rsid w:val="7C0F5709"/>
    <w:rsid w:val="7C432FE2"/>
    <w:rsid w:val="7C5039EF"/>
    <w:rsid w:val="7C8D646F"/>
    <w:rsid w:val="7CEC7E27"/>
    <w:rsid w:val="7CED3F9A"/>
    <w:rsid w:val="7D027A32"/>
    <w:rsid w:val="7D084D83"/>
    <w:rsid w:val="7D165DF7"/>
    <w:rsid w:val="7D3B5988"/>
    <w:rsid w:val="7D624885"/>
    <w:rsid w:val="7D676C5D"/>
    <w:rsid w:val="7D6E4249"/>
    <w:rsid w:val="7D710135"/>
    <w:rsid w:val="7D942D2F"/>
    <w:rsid w:val="7DAB507A"/>
    <w:rsid w:val="7DCE222F"/>
    <w:rsid w:val="7DE4060E"/>
    <w:rsid w:val="7DF96123"/>
    <w:rsid w:val="7E0727F2"/>
    <w:rsid w:val="7E2A2713"/>
    <w:rsid w:val="7E376A3D"/>
    <w:rsid w:val="7E565833"/>
    <w:rsid w:val="7E607204"/>
    <w:rsid w:val="7E62569F"/>
    <w:rsid w:val="7E756CA4"/>
    <w:rsid w:val="7E8A09C7"/>
    <w:rsid w:val="7E9B74BD"/>
    <w:rsid w:val="7EB72410"/>
    <w:rsid w:val="7ED55354"/>
    <w:rsid w:val="7ED87B23"/>
    <w:rsid w:val="7F0E6976"/>
    <w:rsid w:val="7F0F17E4"/>
    <w:rsid w:val="7F1F4C6A"/>
    <w:rsid w:val="7F2124F3"/>
    <w:rsid w:val="7F2D7EB9"/>
    <w:rsid w:val="7F737AAC"/>
    <w:rsid w:val="7F9721F5"/>
    <w:rsid w:val="7FA4756C"/>
    <w:rsid w:val="7FC0769A"/>
    <w:rsid w:val="7FC2522B"/>
    <w:rsid w:val="7FC5522C"/>
    <w:rsid w:val="7FD61919"/>
    <w:rsid w:val="7FF168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qFormat="1" w:unhideWhenUsed="0" w:uiPriority="99" w:semiHidden="0"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qFormat="1"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qFormat="1" w:unhideWhenUsed="0" w:uiPriority="0" w:semiHidden="0"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left="360"/>
    </w:pPr>
    <w:rPr>
      <w:rFonts w:ascii="宋体" w:hAnsi="宋体" w:eastAsia="宋体" w:cs="Times New Roman"/>
      <w:sz w:val="24"/>
      <w:szCs w:val="24"/>
      <w:lang w:val="en-US" w:eastAsia="zh-CN" w:bidi="ar-SA"/>
    </w:rPr>
  </w:style>
  <w:style w:type="paragraph" w:styleId="3">
    <w:name w:val="heading 1"/>
    <w:basedOn w:val="1"/>
    <w:next w:val="1"/>
    <w:link w:val="30"/>
    <w:qFormat/>
    <w:uiPriority w:val="9"/>
    <w:pPr>
      <w:keepNext/>
      <w:keepLines/>
      <w:spacing w:before="340" w:after="330" w:line="578" w:lineRule="auto"/>
      <w:outlineLvl w:val="0"/>
    </w:pPr>
    <w:rPr>
      <w:b/>
      <w:bCs/>
      <w:kern w:val="44"/>
      <w:sz w:val="44"/>
      <w:szCs w:val="44"/>
    </w:rPr>
  </w:style>
  <w:style w:type="paragraph" w:styleId="4">
    <w:name w:val="heading 2"/>
    <w:basedOn w:val="1"/>
    <w:next w:val="1"/>
    <w:qFormat/>
    <w:uiPriority w:val="0"/>
    <w:pPr>
      <w:keepNext/>
      <w:keepLines/>
      <w:widowControl/>
      <w:numPr>
        <w:ilvl w:val="1"/>
        <w:numId w:val="1"/>
      </w:numPr>
      <w:spacing w:before="260" w:after="260" w:line="416" w:lineRule="auto"/>
      <w:outlineLvl w:val="1"/>
    </w:pPr>
    <w:rPr>
      <w:rFonts w:ascii="Arial" w:hAnsi="Arial" w:eastAsia="黑体"/>
      <w:b/>
      <w:sz w:val="32"/>
      <w:szCs w:val="20"/>
    </w:rPr>
  </w:style>
  <w:style w:type="paragraph" w:styleId="5">
    <w:name w:val="heading 3"/>
    <w:basedOn w:val="1"/>
    <w:next w:val="1"/>
    <w:unhideWhenUsed/>
    <w:qFormat/>
    <w:uiPriority w:val="9"/>
    <w:pPr>
      <w:keepNext/>
      <w:keepLines/>
      <w:spacing w:line="560" w:lineRule="exact"/>
      <w:ind w:firstLine="640" w:firstLineChars="200"/>
      <w:outlineLvl w:val="2"/>
    </w:pPr>
    <w:rPr>
      <w:rFonts w:ascii="Calibri" w:hAnsi="Calibri" w:eastAsia="楷体"/>
      <w:sz w:val="30"/>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方正仿宋简体" w:hAnsi="方正仿宋简体" w:eastAsia="方正仿宋简体" w:cs="Times New Roman"/>
      <w:color w:val="000000"/>
      <w:sz w:val="24"/>
      <w:szCs w:val="22"/>
      <w:lang w:val="en-US" w:eastAsia="zh-CN" w:bidi="ar-SA"/>
    </w:rPr>
  </w:style>
  <w:style w:type="paragraph" w:styleId="6">
    <w:name w:val="index 5"/>
    <w:basedOn w:val="1"/>
    <w:next w:val="1"/>
    <w:qFormat/>
    <w:uiPriority w:val="99"/>
    <w:pPr>
      <w:ind w:left="1680"/>
    </w:pPr>
  </w:style>
  <w:style w:type="paragraph" w:styleId="7">
    <w:name w:val="annotation text"/>
    <w:basedOn w:val="1"/>
    <w:link w:val="69"/>
    <w:semiHidden/>
    <w:unhideWhenUsed/>
    <w:qFormat/>
    <w:uiPriority w:val="99"/>
  </w:style>
  <w:style w:type="paragraph" w:styleId="8">
    <w:name w:val="Body Text"/>
    <w:basedOn w:val="1"/>
    <w:link w:val="33"/>
    <w:qFormat/>
    <w:uiPriority w:val="0"/>
    <w:pPr>
      <w:spacing w:beforeLines="50" w:afterLines="50"/>
    </w:pPr>
    <w:rPr>
      <w:b/>
      <w:bCs/>
      <w:sz w:val="36"/>
    </w:rPr>
  </w:style>
  <w:style w:type="paragraph" w:styleId="9">
    <w:name w:val="Body Text Indent"/>
    <w:basedOn w:val="1"/>
    <w:link w:val="35"/>
    <w:semiHidden/>
    <w:unhideWhenUsed/>
    <w:qFormat/>
    <w:uiPriority w:val="99"/>
    <w:pPr>
      <w:spacing w:after="120"/>
      <w:ind w:left="420" w:leftChars="200"/>
    </w:pPr>
  </w:style>
  <w:style w:type="paragraph" w:styleId="10">
    <w:name w:val="toc 3"/>
    <w:basedOn w:val="1"/>
    <w:next w:val="1"/>
    <w:semiHidden/>
    <w:unhideWhenUsed/>
    <w:qFormat/>
    <w:uiPriority w:val="39"/>
    <w:pPr>
      <w:widowControl/>
      <w:spacing w:after="100" w:line="276" w:lineRule="auto"/>
      <w:ind w:left="440"/>
    </w:pPr>
    <w:rPr>
      <w:rFonts w:ascii="Calibri" w:hAnsi="Calibri"/>
      <w:sz w:val="22"/>
      <w:szCs w:val="22"/>
    </w:rPr>
  </w:style>
  <w:style w:type="paragraph" w:styleId="11">
    <w:name w:val="Date"/>
    <w:basedOn w:val="1"/>
    <w:next w:val="1"/>
    <w:link w:val="36"/>
    <w:semiHidden/>
    <w:unhideWhenUsed/>
    <w:qFormat/>
    <w:uiPriority w:val="99"/>
    <w:pPr>
      <w:ind w:left="100" w:leftChars="2500"/>
    </w:pPr>
  </w:style>
  <w:style w:type="paragraph" w:styleId="12">
    <w:name w:val="Balloon Text"/>
    <w:basedOn w:val="1"/>
    <w:link w:val="37"/>
    <w:semiHidden/>
    <w:qFormat/>
    <w:uiPriority w:val="0"/>
    <w:rPr>
      <w:sz w:val="18"/>
      <w:szCs w:val="18"/>
    </w:rPr>
  </w:style>
  <w:style w:type="paragraph" w:styleId="13">
    <w:name w:val="footer"/>
    <w:basedOn w:val="1"/>
    <w:next w:val="6"/>
    <w:link w:val="32"/>
    <w:unhideWhenUsed/>
    <w:qFormat/>
    <w:uiPriority w:val="0"/>
    <w:pPr>
      <w:tabs>
        <w:tab w:val="center" w:pos="4153"/>
        <w:tab w:val="right" w:pos="8306"/>
      </w:tabs>
      <w:snapToGrid w:val="0"/>
    </w:pPr>
    <w:rPr>
      <w:sz w:val="18"/>
      <w:szCs w:val="18"/>
    </w:rPr>
  </w:style>
  <w:style w:type="paragraph" w:styleId="14">
    <w:name w:val="header"/>
    <w:basedOn w:val="1"/>
    <w:link w:val="31"/>
    <w:unhideWhenUsed/>
    <w:qFormat/>
    <w:uiPriority w:val="99"/>
    <w:pPr>
      <w:pBdr>
        <w:bottom w:val="single" w:color="auto" w:sz="6" w:space="1"/>
      </w:pBdr>
      <w:tabs>
        <w:tab w:val="center" w:pos="4153"/>
        <w:tab w:val="right" w:pos="8306"/>
      </w:tabs>
      <w:snapToGrid w:val="0"/>
      <w:jc w:val="center"/>
    </w:pPr>
    <w:rPr>
      <w:sz w:val="18"/>
      <w:szCs w:val="18"/>
    </w:rPr>
  </w:style>
  <w:style w:type="paragraph" w:styleId="15">
    <w:name w:val="toc 1"/>
    <w:basedOn w:val="1"/>
    <w:next w:val="1"/>
    <w:unhideWhenUsed/>
    <w:qFormat/>
    <w:uiPriority w:val="39"/>
    <w:pPr>
      <w:ind w:left="0"/>
    </w:pPr>
  </w:style>
  <w:style w:type="paragraph" w:styleId="16">
    <w:name w:val="Subtitle"/>
    <w:basedOn w:val="1"/>
    <w:next w:val="1"/>
    <w:link w:val="67"/>
    <w:qFormat/>
    <w:uiPriority w:val="11"/>
    <w:pPr>
      <w:spacing w:before="240" w:after="60" w:line="312" w:lineRule="auto"/>
      <w:jc w:val="center"/>
      <w:outlineLvl w:val="1"/>
    </w:pPr>
    <w:rPr>
      <w:rFonts w:ascii="Cambria" w:hAnsi="Cambria"/>
      <w:b/>
      <w:bCs/>
      <w:kern w:val="28"/>
      <w:sz w:val="32"/>
      <w:szCs w:val="32"/>
    </w:rPr>
  </w:style>
  <w:style w:type="paragraph" w:styleId="17">
    <w:name w:val="toc 2"/>
    <w:basedOn w:val="1"/>
    <w:next w:val="1"/>
    <w:unhideWhenUsed/>
    <w:qFormat/>
    <w:uiPriority w:val="39"/>
    <w:pPr>
      <w:widowControl/>
      <w:spacing w:after="100" w:line="276" w:lineRule="auto"/>
      <w:ind w:left="220"/>
    </w:pPr>
    <w:rPr>
      <w:rFonts w:ascii="Calibri" w:hAnsi="Calibri"/>
      <w:sz w:val="22"/>
      <w:szCs w:val="22"/>
    </w:rPr>
  </w:style>
  <w:style w:type="paragraph" w:styleId="18">
    <w:name w:val="Body Text 2"/>
    <w:basedOn w:val="1"/>
    <w:link w:val="34"/>
    <w:semiHidden/>
    <w:unhideWhenUsed/>
    <w:qFormat/>
    <w:uiPriority w:val="99"/>
    <w:pPr>
      <w:spacing w:after="120" w:line="480" w:lineRule="auto"/>
    </w:pPr>
  </w:style>
  <w:style w:type="paragraph" w:styleId="19">
    <w:name w:val="Normal (Web)"/>
    <w:basedOn w:val="1"/>
    <w:qFormat/>
    <w:uiPriority w:val="99"/>
    <w:pPr>
      <w:widowControl/>
      <w:spacing w:before="100" w:beforeAutospacing="1" w:after="100" w:afterAutospacing="1"/>
    </w:pPr>
    <w:rPr>
      <w:rFonts w:cs="宋体"/>
    </w:rPr>
  </w:style>
  <w:style w:type="paragraph" w:styleId="20">
    <w:name w:val="annotation subject"/>
    <w:basedOn w:val="7"/>
    <w:next w:val="7"/>
    <w:link w:val="70"/>
    <w:semiHidden/>
    <w:unhideWhenUsed/>
    <w:qFormat/>
    <w:uiPriority w:val="99"/>
    <w:rPr>
      <w:b/>
      <w:bCs/>
    </w:rPr>
  </w:style>
  <w:style w:type="table" w:styleId="22">
    <w:name w:val="Table Grid"/>
    <w:basedOn w:val="21"/>
    <w:qFormat/>
    <w:uiPriority w:val="0"/>
    <w:pPr>
      <w:widowControl w:val="0"/>
      <w:spacing w:line="360" w:lineRule="auto"/>
      <w:ind w:left="360"/>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qFormat/>
    <w:uiPriority w:val="0"/>
    <w:rPr>
      <w:b/>
    </w:rPr>
  </w:style>
  <w:style w:type="character" w:styleId="25">
    <w:name w:val="page number"/>
    <w:basedOn w:val="23"/>
    <w:qFormat/>
    <w:uiPriority w:val="0"/>
  </w:style>
  <w:style w:type="character" w:styleId="26">
    <w:name w:val="FollowedHyperlink"/>
    <w:basedOn w:val="23"/>
    <w:semiHidden/>
    <w:unhideWhenUsed/>
    <w:qFormat/>
    <w:uiPriority w:val="99"/>
    <w:rPr>
      <w:color w:val="800080"/>
      <w:u w:val="single"/>
    </w:rPr>
  </w:style>
  <w:style w:type="character" w:styleId="27">
    <w:name w:val="HTML Variable"/>
    <w:basedOn w:val="23"/>
    <w:qFormat/>
    <w:uiPriority w:val="0"/>
    <w:rPr>
      <w:i/>
      <w:iCs/>
    </w:rPr>
  </w:style>
  <w:style w:type="character" w:styleId="28">
    <w:name w:val="Hyperlink"/>
    <w:basedOn w:val="23"/>
    <w:unhideWhenUsed/>
    <w:qFormat/>
    <w:uiPriority w:val="99"/>
    <w:rPr>
      <w:color w:val="0000FF"/>
      <w:u w:val="single"/>
    </w:rPr>
  </w:style>
  <w:style w:type="character" w:styleId="29">
    <w:name w:val="annotation reference"/>
    <w:basedOn w:val="23"/>
    <w:semiHidden/>
    <w:unhideWhenUsed/>
    <w:qFormat/>
    <w:uiPriority w:val="99"/>
    <w:rPr>
      <w:sz w:val="21"/>
      <w:szCs w:val="21"/>
    </w:rPr>
  </w:style>
  <w:style w:type="character" w:customStyle="1" w:styleId="30">
    <w:name w:val="标题 1 字符"/>
    <w:basedOn w:val="23"/>
    <w:link w:val="3"/>
    <w:qFormat/>
    <w:uiPriority w:val="9"/>
    <w:rPr>
      <w:rFonts w:ascii="宋体" w:hAnsi="宋体" w:eastAsia="宋体" w:cs="Times New Roman"/>
      <w:b/>
      <w:bCs/>
      <w:kern w:val="44"/>
      <w:sz w:val="44"/>
      <w:szCs w:val="44"/>
    </w:rPr>
  </w:style>
  <w:style w:type="character" w:customStyle="1" w:styleId="31">
    <w:name w:val="页眉 字符"/>
    <w:basedOn w:val="23"/>
    <w:link w:val="14"/>
    <w:qFormat/>
    <w:uiPriority w:val="99"/>
    <w:rPr>
      <w:rFonts w:ascii="宋体" w:hAnsi="宋体" w:eastAsia="宋体" w:cs="Times New Roman"/>
      <w:kern w:val="0"/>
      <w:sz w:val="18"/>
      <w:szCs w:val="18"/>
    </w:rPr>
  </w:style>
  <w:style w:type="character" w:customStyle="1" w:styleId="32">
    <w:name w:val="页脚 字符"/>
    <w:basedOn w:val="23"/>
    <w:link w:val="13"/>
    <w:qFormat/>
    <w:uiPriority w:val="0"/>
    <w:rPr>
      <w:rFonts w:ascii="宋体" w:hAnsi="宋体" w:eastAsia="宋体" w:cs="Times New Roman"/>
      <w:kern w:val="0"/>
      <w:sz w:val="18"/>
      <w:szCs w:val="18"/>
    </w:rPr>
  </w:style>
  <w:style w:type="character" w:customStyle="1" w:styleId="33">
    <w:name w:val="正文文本 字符"/>
    <w:basedOn w:val="23"/>
    <w:link w:val="8"/>
    <w:qFormat/>
    <w:uiPriority w:val="0"/>
    <w:rPr>
      <w:rFonts w:ascii="宋体" w:hAnsi="宋体" w:eastAsia="宋体" w:cs="Times New Roman"/>
      <w:b/>
      <w:bCs/>
      <w:kern w:val="0"/>
      <w:sz w:val="36"/>
      <w:szCs w:val="24"/>
    </w:rPr>
  </w:style>
  <w:style w:type="character" w:customStyle="1" w:styleId="34">
    <w:name w:val="正文文本 2 字符"/>
    <w:basedOn w:val="23"/>
    <w:link w:val="18"/>
    <w:semiHidden/>
    <w:qFormat/>
    <w:uiPriority w:val="99"/>
    <w:rPr>
      <w:rFonts w:ascii="宋体" w:hAnsi="宋体" w:eastAsia="宋体" w:cs="Times New Roman"/>
      <w:kern w:val="0"/>
      <w:sz w:val="24"/>
      <w:szCs w:val="24"/>
    </w:rPr>
  </w:style>
  <w:style w:type="character" w:customStyle="1" w:styleId="35">
    <w:name w:val="正文文本缩进 字符"/>
    <w:basedOn w:val="23"/>
    <w:link w:val="9"/>
    <w:semiHidden/>
    <w:qFormat/>
    <w:uiPriority w:val="99"/>
    <w:rPr>
      <w:rFonts w:ascii="宋体" w:hAnsi="宋体" w:eastAsia="宋体" w:cs="Times New Roman"/>
      <w:kern w:val="0"/>
      <w:sz w:val="24"/>
      <w:szCs w:val="24"/>
    </w:rPr>
  </w:style>
  <w:style w:type="character" w:customStyle="1" w:styleId="36">
    <w:name w:val="日期 字符"/>
    <w:basedOn w:val="23"/>
    <w:link w:val="11"/>
    <w:semiHidden/>
    <w:qFormat/>
    <w:uiPriority w:val="99"/>
    <w:rPr>
      <w:rFonts w:ascii="宋体" w:hAnsi="宋体" w:eastAsia="宋体" w:cs="Times New Roman"/>
      <w:kern w:val="0"/>
      <w:sz w:val="24"/>
      <w:szCs w:val="24"/>
    </w:rPr>
  </w:style>
  <w:style w:type="character" w:customStyle="1" w:styleId="37">
    <w:name w:val="批注框文本 字符"/>
    <w:basedOn w:val="23"/>
    <w:link w:val="12"/>
    <w:semiHidden/>
    <w:qFormat/>
    <w:uiPriority w:val="0"/>
    <w:rPr>
      <w:rFonts w:ascii="宋体" w:hAnsi="宋体" w:eastAsia="宋体" w:cs="Times New Roman"/>
      <w:kern w:val="0"/>
      <w:sz w:val="18"/>
      <w:szCs w:val="18"/>
    </w:rPr>
  </w:style>
  <w:style w:type="paragraph" w:customStyle="1" w:styleId="38">
    <w:name w:val="TOC 标题1"/>
    <w:basedOn w:val="3"/>
    <w:next w:val="1"/>
    <w:qFormat/>
    <w:uiPriority w:val="39"/>
    <w:pPr>
      <w:widowControl/>
      <w:spacing w:before="480" w:after="0" w:line="276" w:lineRule="auto"/>
      <w:ind w:left="0"/>
      <w:outlineLvl w:val="9"/>
    </w:pPr>
    <w:rPr>
      <w:rFonts w:ascii="Cambria" w:hAnsi="Cambria"/>
      <w:color w:val="365F91"/>
      <w:kern w:val="0"/>
      <w:sz w:val="28"/>
      <w:szCs w:val="28"/>
    </w:rPr>
  </w:style>
  <w:style w:type="paragraph" w:customStyle="1" w:styleId="39">
    <w:name w:val="font0"/>
    <w:basedOn w:val="1"/>
    <w:qFormat/>
    <w:uiPriority w:val="0"/>
    <w:pPr>
      <w:widowControl/>
      <w:spacing w:before="100" w:beforeAutospacing="1" w:after="100" w:afterAutospacing="1" w:line="240" w:lineRule="auto"/>
      <w:ind w:left="0"/>
    </w:pPr>
    <w:rPr>
      <w:rFonts w:cs="宋体"/>
    </w:rPr>
  </w:style>
  <w:style w:type="paragraph" w:customStyle="1" w:styleId="40">
    <w:name w:val="font5"/>
    <w:basedOn w:val="1"/>
    <w:qFormat/>
    <w:uiPriority w:val="0"/>
    <w:pPr>
      <w:widowControl/>
      <w:spacing w:before="100" w:beforeAutospacing="1" w:after="100" w:afterAutospacing="1" w:line="240" w:lineRule="auto"/>
      <w:ind w:left="0"/>
    </w:pPr>
    <w:rPr>
      <w:rFonts w:cs="宋体"/>
    </w:rPr>
  </w:style>
  <w:style w:type="paragraph" w:customStyle="1" w:styleId="41">
    <w:name w:val="font6"/>
    <w:basedOn w:val="1"/>
    <w:qFormat/>
    <w:uiPriority w:val="0"/>
    <w:pPr>
      <w:widowControl/>
      <w:spacing w:before="100" w:beforeAutospacing="1" w:after="100" w:afterAutospacing="1" w:line="240" w:lineRule="auto"/>
      <w:ind w:left="0"/>
    </w:pPr>
    <w:rPr>
      <w:rFonts w:cs="宋体"/>
      <w:sz w:val="18"/>
      <w:szCs w:val="18"/>
    </w:rPr>
  </w:style>
  <w:style w:type="paragraph" w:customStyle="1" w:styleId="42">
    <w:name w:val="xl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jc w:val="center"/>
    </w:pPr>
    <w:rPr>
      <w:rFonts w:cs="宋体"/>
      <w:b/>
      <w:bCs/>
    </w:rPr>
  </w:style>
  <w:style w:type="paragraph" w:customStyle="1" w:styleId="43">
    <w:name w:val="xl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jc w:val="center"/>
    </w:pPr>
    <w:rPr>
      <w:rFonts w:cs="宋体"/>
    </w:rPr>
  </w:style>
  <w:style w:type="paragraph" w:customStyle="1" w:styleId="44">
    <w:name w:val="xl24"/>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left="0"/>
    </w:pPr>
    <w:rPr>
      <w:rFonts w:cs="宋体"/>
    </w:rPr>
  </w:style>
  <w:style w:type="paragraph" w:customStyle="1" w:styleId="45">
    <w:name w:val="xl25"/>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left="0"/>
      <w:jc w:val="center"/>
    </w:pPr>
    <w:rPr>
      <w:rFonts w:cs="宋体"/>
    </w:rPr>
  </w:style>
  <w:style w:type="paragraph" w:customStyle="1" w:styleId="46">
    <w:name w:val="xl26"/>
    <w:basedOn w:val="1"/>
    <w:qFormat/>
    <w:uiPriority w:val="0"/>
    <w:pPr>
      <w:widowControl/>
      <w:pBdr>
        <w:top w:val="single" w:color="auto" w:sz="4" w:space="0"/>
      </w:pBdr>
      <w:spacing w:before="100" w:beforeAutospacing="1" w:after="100" w:afterAutospacing="1" w:line="240" w:lineRule="auto"/>
      <w:ind w:left="0"/>
      <w:jc w:val="center"/>
    </w:pPr>
    <w:rPr>
      <w:rFonts w:cs="宋体"/>
      <w:b/>
      <w:bCs/>
      <w:sz w:val="36"/>
      <w:szCs w:val="36"/>
    </w:rPr>
  </w:style>
  <w:style w:type="character" w:customStyle="1" w:styleId="47">
    <w:name w:val="apple-style-span"/>
    <w:basedOn w:val="23"/>
    <w:qFormat/>
    <w:uiPriority w:val="0"/>
  </w:style>
  <w:style w:type="paragraph" w:customStyle="1" w:styleId="48">
    <w:name w:val="font7"/>
    <w:basedOn w:val="1"/>
    <w:qFormat/>
    <w:uiPriority w:val="0"/>
    <w:pPr>
      <w:widowControl/>
      <w:spacing w:before="100" w:beforeAutospacing="1" w:after="100" w:afterAutospacing="1" w:line="240" w:lineRule="auto"/>
      <w:ind w:left="0"/>
    </w:pPr>
    <w:rPr>
      <w:rFonts w:cs="宋体"/>
      <w:sz w:val="18"/>
      <w:szCs w:val="18"/>
    </w:rPr>
  </w:style>
  <w:style w:type="paragraph" w:customStyle="1" w:styleId="49">
    <w:name w:val="font8"/>
    <w:basedOn w:val="1"/>
    <w:qFormat/>
    <w:uiPriority w:val="0"/>
    <w:pPr>
      <w:widowControl/>
      <w:spacing w:before="100" w:beforeAutospacing="1" w:after="100" w:afterAutospacing="1" w:line="240" w:lineRule="auto"/>
      <w:ind w:left="0"/>
    </w:pPr>
    <w:rPr>
      <w:rFonts w:cs="宋体"/>
      <w:sz w:val="18"/>
      <w:szCs w:val="18"/>
    </w:rPr>
  </w:style>
  <w:style w:type="paragraph" w:customStyle="1" w:styleId="50">
    <w:name w:val="font9"/>
    <w:basedOn w:val="1"/>
    <w:qFormat/>
    <w:uiPriority w:val="0"/>
    <w:pPr>
      <w:widowControl/>
      <w:spacing w:before="100" w:beforeAutospacing="1" w:after="100" w:afterAutospacing="1" w:line="240" w:lineRule="auto"/>
      <w:ind w:left="0"/>
    </w:pPr>
    <w:rPr>
      <w:rFonts w:cs="宋体"/>
      <w:sz w:val="18"/>
      <w:szCs w:val="18"/>
    </w:rPr>
  </w:style>
  <w:style w:type="paragraph" w:customStyle="1" w:styleId="51">
    <w:name w:val="font10"/>
    <w:basedOn w:val="1"/>
    <w:qFormat/>
    <w:uiPriority w:val="0"/>
    <w:pPr>
      <w:widowControl/>
      <w:spacing w:before="100" w:beforeAutospacing="1" w:after="100" w:afterAutospacing="1" w:line="240" w:lineRule="auto"/>
      <w:ind w:left="0"/>
    </w:pPr>
    <w:rPr>
      <w:rFonts w:cs="宋体"/>
      <w:sz w:val="18"/>
      <w:szCs w:val="18"/>
    </w:rPr>
  </w:style>
  <w:style w:type="paragraph" w:customStyle="1" w:styleId="52">
    <w:name w:val="font11"/>
    <w:basedOn w:val="1"/>
    <w:qFormat/>
    <w:uiPriority w:val="0"/>
    <w:pPr>
      <w:widowControl/>
      <w:spacing w:before="100" w:beforeAutospacing="1" w:after="100" w:afterAutospacing="1" w:line="240" w:lineRule="auto"/>
      <w:ind w:left="0"/>
    </w:pPr>
    <w:rPr>
      <w:rFonts w:cs="宋体"/>
      <w:sz w:val="18"/>
      <w:szCs w:val="18"/>
    </w:rPr>
  </w:style>
  <w:style w:type="paragraph" w:customStyle="1" w:styleId="53">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jc w:val="center"/>
    </w:pPr>
    <w:rPr>
      <w:rFonts w:cs="宋体"/>
      <w:sz w:val="18"/>
      <w:szCs w:val="18"/>
    </w:rPr>
  </w:style>
  <w:style w:type="paragraph" w:customStyle="1" w:styleId="54">
    <w:name w:val="xl69"/>
    <w:basedOn w:val="1"/>
    <w:qFormat/>
    <w:uiPriority w:val="0"/>
    <w:pPr>
      <w:widowControl/>
      <w:spacing w:before="100" w:beforeAutospacing="1" w:after="100" w:afterAutospacing="1" w:line="240" w:lineRule="auto"/>
      <w:ind w:left="0"/>
      <w:jc w:val="center"/>
    </w:pPr>
    <w:rPr>
      <w:rFonts w:cs="宋体"/>
      <w:sz w:val="18"/>
      <w:szCs w:val="18"/>
    </w:rPr>
  </w:style>
  <w:style w:type="paragraph" w:customStyle="1" w:styleId="55">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jc w:val="center"/>
    </w:pPr>
    <w:rPr>
      <w:rFonts w:cs="宋体"/>
      <w:color w:val="FF0000"/>
      <w:sz w:val="18"/>
      <w:szCs w:val="18"/>
    </w:rPr>
  </w:style>
  <w:style w:type="paragraph" w:customStyle="1" w:styleId="56">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jc w:val="center"/>
    </w:pPr>
    <w:rPr>
      <w:rFonts w:cs="宋体"/>
      <w:sz w:val="18"/>
      <w:szCs w:val="18"/>
    </w:rPr>
  </w:style>
  <w:style w:type="paragraph" w:customStyle="1" w:styleId="57">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jc w:val="center"/>
    </w:pPr>
    <w:rPr>
      <w:rFonts w:cs="宋体"/>
      <w:color w:val="000000"/>
      <w:sz w:val="18"/>
      <w:szCs w:val="18"/>
    </w:rPr>
  </w:style>
  <w:style w:type="paragraph" w:customStyle="1" w:styleId="58">
    <w:name w:val="xl73"/>
    <w:basedOn w:val="1"/>
    <w:qFormat/>
    <w:uiPriority w:val="0"/>
    <w:pPr>
      <w:widowControl/>
      <w:spacing w:before="100" w:beforeAutospacing="1" w:after="100" w:afterAutospacing="1" w:line="240" w:lineRule="auto"/>
      <w:ind w:left="0"/>
      <w:jc w:val="center"/>
    </w:pPr>
    <w:rPr>
      <w:rFonts w:cs="宋体"/>
      <w:color w:val="FF0000"/>
      <w:sz w:val="18"/>
      <w:szCs w:val="18"/>
    </w:rPr>
  </w:style>
  <w:style w:type="paragraph" w:customStyle="1" w:styleId="5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pPr>
    <w:rPr>
      <w:rFonts w:cs="宋体"/>
      <w:sz w:val="18"/>
      <w:szCs w:val="18"/>
    </w:rPr>
  </w:style>
  <w:style w:type="paragraph" w:customStyle="1" w:styleId="60">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pPr>
    <w:rPr>
      <w:rFonts w:cs="宋体"/>
      <w:color w:val="FF0000"/>
      <w:sz w:val="18"/>
      <w:szCs w:val="18"/>
    </w:rPr>
  </w:style>
  <w:style w:type="paragraph" w:customStyle="1" w:styleId="61">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pPr>
    <w:rPr>
      <w:rFonts w:cs="宋体"/>
      <w:color w:val="000000"/>
      <w:sz w:val="18"/>
      <w:szCs w:val="18"/>
    </w:rPr>
  </w:style>
  <w:style w:type="paragraph" w:customStyle="1" w:styleId="62">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pPr>
    <w:rPr>
      <w:rFonts w:cs="宋体"/>
      <w:color w:val="000000"/>
      <w:sz w:val="18"/>
      <w:szCs w:val="18"/>
    </w:rPr>
  </w:style>
  <w:style w:type="paragraph" w:customStyle="1" w:styleId="63">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pPr>
    <w:rPr>
      <w:rFonts w:cs="宋体"/>
      <w:sz w:val="18"/>
      <w:szCs w:val="18"/>
    </w:rPr>
  </w:style>
  <w:style w:type="paragraph" w:customStyle="1" w:styleId="64">
    <w:name w:val="xl79"/>
    <w:basedOn w:val="1"/>
    <w:qFormat/>
    <w:uiPriority w:val="0"/>
    <w:pPr>
      <w:widowControl/>
      <w:spacing w:before="100" w:beforeAutospacing="1" w:after="100" w:afterAutospacing="1" w:line="240" w:lineRule="auto"/>
      <w:ind w:left="0"/>
    </w:pPr>
    <w:rPr>
      <w:rFonts w:cs="宋体"/>
      <w:sz w:val="18"/>
      <w:szCs w:val="18"/>
    </w:rPr>
  </w:style>
  <w:style w:type="character" w:customStyle="1" w:styleId="65">
    <w:name w:val="apple-converted-space"/>
    <w:basedOn w:val="23"/>
    <w:qFormat/>
    <w:uiPriority w:val="0"/>
  </w:style>
  <w:style w:type="character" w:customStyle="1" w:styleId="66">
    <w:name w:val="f101"/>
    <w:basedOn w:val="23"/>
    <w:qFormat/>
    <w:uiPriority w:val="0"/>
    <w:rPr>
      <w:spacing w:val="500"/>
      <w:sz w:val="24"/>
      <w:szCs w:val="24"/>
    </w:rPr>
  </w:style>
  <w:style w:type="character" w:customStyle="1" w:styleId="67">
    <w:name w:val="副标题 字符"/>
    <w:basedOn w:val="23"/>
    <w:link w:val="16"/>
    <w:qFormat/>
    <w:uiPriority w:val="11"/>
    <w:rPr>
      <w:rFonts w:ascii="Cambria" w:hAnsi="Cambria" w:eastAsia="宋体" w:cs="Times New Roman"/>
      <w:b/>
      <w:bCs/>
      <w:kern w:val="28"/>
      <w:sz w:val="32"/>
      <w:szCs w:val="32"/>
    </w:rPr>
  </w:style>
  <w:style w:type="paragraph" w:styleId="68">
    <w:name w:val="List Paragraph"/>
    <w:basedOn w:val="1"/>
    <w:qFormat/>
    <w:uiPriority w:val="34"/>
    <w:pPr>
      <w:ind w:firstLine="420" w:firstLineChars="200"/>
    </w:pPr>
  </w:style>
  <w:style w:type="character" w:customStyle="1" w:styleId="69">
    <w:name w:val="批注文字 字符"/>
    <w:basedOn w:val="23"/>
    <w:link w:val="7"/>
    <w:semiHidden/>
    <w:qFormat/>
    <w:uiPriority w:val="99"/>
    <w:rPr>
      <w:rFonts w:ascii="宋体" w:hAnsi="宋体" w:eastAsia="宋体" w:cs="Times New Roman"/>
      <w:sz w:val="24"/>
      <w:szCs w:val="24"/>
    </w:rPr>
  </w:style>
  <w:style w:type="character" w:customStyle="1" w:styleId="70">
    <w:name w:val="批注主题 字符"/>
    <w:basedOn w:val="69"/>
    <w:link w:val="20"/>
    <w:semiHidden/>
    <w:qFormat/>
    <w:uiPriority w:val="99"/>
    <w:rPr>
      <w:rFonts w:ascii="宋体" w:hAnsi="宋体" w:eastAsia="宋体" w:cs="Times New Roman"/>
      <w:b/>
      <w:bCs/>
      <w:sz w:val="24"/>
      <w:szCs w:val="24"/>
    </w:rPr>
  </w:style>
  <w:style w:type="paragraph" w:customStyle="1" w:styleId="71">
    <w:name w:val="tgt"/>
    <w:basedOn w:val="1"/>
    <w:qFormat/>
    <w:uiPriority w:val="0"/>
    <w:pPr>
      <w:widowControl/>
      <w:spacing w:before="100" w:beforeAutospacing="1" w:after="100" w:afterAutospacing="1" w:line="240" w:lineRule="auto"/>
      <w:ind w:left="0"/>
    </w:pPr>
    <w:rPr>
      <w:rFonts w:cs="宋体"/>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45EBA80-C50A-47CE-995A-FCD129E3E3A2}">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27</Pages>
  <Words>1816</Words>
  <Characters>10356</Characters>
  <DocSecurity>0</DocSecurity>
  <Lines>86</Lines>
  <Paragraphs>24</Paragraphs>
  <ScaleCrop>false</ScaleCrop>
  <LinksUpToDate>false</LinksUpToDate>
  <CharactersWithSpaces>12148</CharactersWithSpac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2022-10-12T01:33:00Z</cp:lastPrinted>
  <dcterms:created xsi:type="dcterms:W3CDTF">2022-05-04T06:06:00Z</dcterms:created>
  <dcterms:modified xsi:type="dcterms:W3CDTF">2023-05-26T10:31:20Z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2052-11.8.2.11978</vt:lpwstr>
  </property>
  <property fmtid="{D5CDD505-2E9C-101B-9397-08002B2CF9AE}" pid="3" name="ICV">
    <vt:lpwstr>E367BF156B454DEC8CD70C368A6A7B5A</vt:lpwstr>
  </property>
</Properties>
</file>