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09B42">
      <w:pPr>
        <w:pStyle w:val="12"/>
        <w:keepNext w:val="0"/>
        <w:keepLines w:val="0"/>
        <w:pageBreakBefore w:val="0"/>
        <w:widowControl w:val="0"/>
        <w:kinsoku/>
        <w:wordWrap/>
        <w:overflowPunct/>
        <w:topLinePunct w:val="0"/>
        <w:autoSpaceDE/>
        <w:autoSpaceDN/>
        <w:bidi w:val="0"/>
        <w:adjustRightInd w:val="0"/>
        <w:snapToGrid w:val="0"/>
        <w:spacing w:after="0" w:line="600" w:lineRule="exact"/>
        <w:ind w:left="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bookmarkStart w:id="0" w:name="_Toc639"/>
    </w:p>
    <w:p w14:paraId="4B652B63">
      <w:pPr>
        <w:pStyle w:val="12"/>
        <w:keepNext w:val="0"/>
        <w:keepLines w:val="0"/>
        <w:pageBreakBefore w:val="0"/>
        <w:widowControl w:val="0"/>
        <w:kinsoku/>
        <w:wordWrap/>
        <w:overflowPunct/>
        <w:topLinePunct w:val="0"/>
        <w:autoSpaceDE/>
        <w:autoSpaceDN/>
        <w:bidi w:val="0"/>
        <w:adjustRightInd w:val="0"/>
        <w:snapToGrid w:val="0"/>
        <w:spacing w:after="0" w:line="600" w:lineRule="exact"/>
        <w:ind w:left="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27DC710E">
      <w:pPr>
        <w:pStyle w:val="12"/>
        <w:keepNext w:val="0"/>
        <w:keepLines w:val="0"/>
        <w:pageBreakBefore w:val="0"/>
        <w:widowControl w:val="0"/>
        <w:kinsoku/>
        <w:wordWrap/>
        <w:overflowPunct/>
        <w:topLinePunct w:val="0"/>
        <w:autoSpaceDE/>
        <w:autoSpaceDN/>
        <w:bidi w:val="0"/>
        <w:adjustRightInd w:val="0"/>
        <w:snapToGrid w:val="0"/>
        <w:spacing w:after="0" w:line="600" w:lineRule="exact"/>
        <w:ind w:left="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614E893F">
      <w:pPr>
        <w:pStyle w:val="12"/>
        <w:pageBreakBefore w:val="0"/>
        <w:kinsoku/>
        <w:topLinePunct w:val="0"/>
        <w:bidi w:val="0"/>
        <w:adjustRightInd w:val="0"/>
        <w:snapToGrid w:val="0"/>
        <w:spacing w:after="0" w:line="580" w:lineRule="exact"/>
        <w:ind w:left="0"/>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广东省血流导向密网支架类医用耗材</w:t>
      </w:r>
    </w:p>
    <w:p w14:paraId="14CD7ED0">
      <w:pPr>
        <w:pStyle w:val="12"/>
        <w:pageBreakBefore w:val="0"/>
        <w:kinsoku/>
        <w:topLinePunct w:val="0"/>
        <w:bidi w:val="0"/>
        <w:adjustRightInd w:val="0"/>
        <w:snapToGrid w:val="0"/>
        <w:spacing w:after="0" w:line="580" w:lineRule="exact"/>
        <w:ind w:left="0"/>
        <w:jc w:val="center"/>
        <w:rPr>
          <w:rFonts w:hint="eastAsia" w:ascii="方正小标宋简体" w:hAnsi="方正小标宋简体" w:eastAsia="方正小标宋简体" w:cs="方正小标宋简体"/>
          <w:b w:val="0"/>
          <w:bCs w:val="0"/>
          <w:color w:val="auto"/>
          <w:kern w:val="2"/>
          <w:sz w:val="44"/>
          <w:szCs w:val="44"/>
          <w:highlight w:val="none"/>
          <w:u w:val="none"/>
          <w:lang w:eastAsia="zh-CN"/>
        </w:rPr>
      </w:pPr>
      <w:r>
        <w:rPr>
          <w:rFonts w:hint="eastAsia" w:ascii="方正小标宋简体" w:hAnsi="方正小标宋简体" w:eastAsia="方正小标宋简体" w:cs="方正小标宋简体"/>
          <w:b w:val="0"/>
          <w:bCs w:val="0"/>
          <w:color w:val="auto"/>
          <w:sz w:val="44"/>
          <w:szCs w:val="44"/>
          <w:lang w:val="en-US" w:eastAsia="zh-CN"/>
        </w:rPr>
        <w:t>带量联动采购文件</w:t>
      </w:r>
      <w:bookmarkEnd w:id="0"/>
    </w:p>
    <w:p w14:paraId="1C80B9C7">
      <w:pPr>
        <w:pageBreakBefore w:val="0"/>
        <w:kinsoku/>
        <w:topLinePunct w:val="0"/>
        <w:bidi w:val="0"/>
        <w:spacing w:line="580" w:lineRule="exact"/>
        <w:ind w:left="0" w:leftChars="0" w:firstLine="0" w:firstLineChars="0"/>
        <w:jc w:val="center"/>
        <w:rPr>
          <w:rFonts w:hint="eastAsia" w:ascii="华文中宋" w:hAnsi="华文中宋" w:eastAsia="华文中宋"/>
          <w:color w:val="auto"/>
          <w:kern w:val="2"/>
          <w:sz w:val="32"/>
          <w:highlight w:val="none"/>
          <w:u w:val="none"/>
          <w:lang w:eastAsia="zh-CN"/>
        </w:rPr>
      </w:pPr>
      <w:r>
        <w:rPr>
          <w:rFonts w:hint="eastAsia" w:ascii="华文中宋" w:hAnsi="华文中宋" w:eastAsia="华文中宋"/>
          <w:color w:val="auto"/>
          <w:kern w:val="2"/>
          <w:sz w:val="32"/>
          <w:highlight w:val="none"/>
          <w:u w:val="none"/>
          <w:lang w:eastAsia="zh-CN"/>
        </w:rPr>
        <w:t>（</w:t>
      </w:r>
      <w:r>
        <w:rPr>
          <w:rFonts w:hint="eastAsia" w:ascii="华文中宋" w:hAnsi="华文中宋" w:eastAsia="华文中宋"/>
          <w:color w:val="auto"/>
          <w:kern w:val="2"/>
          <w:sz w:val="32"/>
          <w:highlight w:val="none"/>
          <w:u w:val="none"/>
          <w:lang w:val="en-US" w:eastAsia="zh-CN"/>
        </w:rPr>
        <w:t>征求意见稿</w:t>
      </w:r>
      <w:r>
        <w:rPr>
          <w:rFonts w:hint="eastAsia" w:ascii="华文中宋" w:hAnsi="华文中宋" w:eastAsia="华文中宋"/>
          <w:color w:val="auto"/>
          <w:kern w:val="2"/>
          <w:sz w:val="32"/>
          <w:highlight w:val="none"/>
          <w:u w:val="none"/>
          <w:lang w:eastAsia="zh-CN"/>
        </w:rPr>
        <w:t>）</w:t>
      </w:r>
    </w:p>
    <w:p w14:paraId="6F5E46CE">
      <w:pPr>
        <w:pStyle w:val="12"/>
        <w:pageBreakBefore w:val="0"/>
        <w:kinsoku/>
        <w:topLinePunct w:val="0"/>
        <w:bidi w:val="0"/>
        <w:adjustRightInd w:val="0"/>
        <w:snapToGrid w:val="0"/>
        <w:spacing w:after="0" w:line="580" w:lineRule="exact"/>
        <w:ind w:left="0"/>
        <w:jc w:val="center"/>
        <w:rPr>
          <w:rFonts w:hint="eastAsia" w:ascii="方正小标宋简体" w:hAnsi="方正小标宋简体" w:eastAsia="方正小标宋简体" w:cs="方正小标宋简体"/>
          <w:b w:val="0"/>
          <w:bCs w:val="0"/>
          <w:color w:val="auto"/>
          <w:kern w:val="2"/>
          <w:sz w:val="44"/>
          <w:szCs w:val="44"/>
          <w:highlight w:val="none"/>
          <w:u w:val="none"/>
        </w:rPr>
      </w:pPr>
    </w:p>
    <w:p w14:paraId="63BD0B55">
      <w:pPr>
        <w:pStyle w:val="12"/>
        <w:pageBreakBefore w:val="0"/>
        <w:kinsoku/>
        <w:topLinePunct w:val="0"/>
        <w:bidi w:val="0"/>
        <w:adjustRightInd w:val="0"/>
        <w:snapToGrid w:val="0"/>
        <w:spacing w:after="0" w:line="580" w:lineRule="exact"/>
        <w:ind w:left="0"/>
        <w:jc w:val="center"/>
        <w:rPr>
          <w:rFonts w:hint="eastAsia" w:ascii="方正小标宋简体" w:hAnsi="方正小标宋简体" w:eastAsia="方正小标宋简体" w:cs="方正小标宋简体"/>
          <w:b w:val="0"/>
          <w:bCs w:val="0"/>
          <w:color w:val="auto"/>
          <w:kern w:val="2"/>
          <w:sz w:val="44"/>
          <w:szCs w:val="44"/>
          <w:highlight w:val="none"/>
          <w:u w:val="none"/>
        </w:rPr>
      </w:pPr>
    </w:p>
    <w:p w14:paraId="6F27D452">
      <w:pPr>
        <w:pStyle w:val="12"/>
        <w:pageBreakBefore w:val="0"/>
        <w:kinsoku/>
        <w:topLinePunct w:val="0"/>
        <w:bidi w:val="0"/>
        <w:adjustRightInd w:val="0"/>
        <w:snapToGrid w:val="0"/>
        <w:spacing w:after="0" w:line="580" w:lineRule="exact"/>
        <w:ind w:left="0"/>
        <w:jc w:val="center"/>
        <w:rPr>
          <w:rFonts w:hint="eastAsia" w:ascii="方正小标宋简体" w:hAnsi="方正小标宋简体" w:eastAsia="方正小标宋简体" w:cs="方正小标宋简体"/>
          <w:b w:val="0"/>
          <w:bCs w:val="0"/>
          <w:color w:val="auto"/>
          <w:kern w:val="2"/>
          <w:sz w:val="44"/>
          <w:szCs w:val="44"/>
          <w:highlight w:val="none"/>
          <w:u w:val="none"/>
        </w:rPr>
      </w:pPr>
    </w:p>
    <w:p w14:paraId="42541109">
      <w:pPr>
        <w:pageBreakBefore w:val="0"/>
        <w:kinsoku/>
        <w:topLinePunct w:val="0"/>
        <w:bidi w:val="0"/>
        <w:spacing w:line="580" w:lineRule="exact"/>
        <w:ind w:left="0" w:leftChars="0" w:firstLine="0" w:firstLineChars="0"/>
        <w:jc w:val="center"/>
        <w:rPr>
          <w:rFonts w:hint="default" w:ascii="华文中宋" w:hAnsi="华文中宋" w:eastAsia="华文中宋"/>
          <w:color w:val="auto"/>
          <w:kern w:val="2"/>
          <w:sz w:val="32"/>
          <w:highlight w:val="none"/>
          <w:u w:val="none"/>
          <w:lang w:val="en-US" w:eastAsia="zh-CN"/>
        </w:rPr>
      </w:pPr>
      <w:bookmarkStart w:id="1" w:name="_Toc29467"/>
      <w:r>
        <w:rPr>
          <w:rFonts w:hint="eastAsia" w:ascii="华文中宋" w:hAnsi="华文中宋" w:eastAsia="华文中宋"/>
          <w:color w:val="auto"/>
          <w:kern w:val="2"/>
          <w:sz w:val="32"/>
          <w:highlight w:val="none"/>
          <w:u w:val="none"/>
        </w:rPr>
        <w:t>采购文件编号：</w:t>
      </w:r>
      <w:bookmarkEnd w:id="1"/>
      <w:r>
        <w:rPr>
          <w:rFonts w:hint="eastAsia" w:ascii="华文中宋" w:hAnsi="华文中宋" w:eastAsia="华文中宋"/>
          <w:color w:val="auto"/>
          <w:kern w:val="2"/>
          <w:sz w:val="32"/>
          <w:highlight w:val="none"/>
          <w:u w:val="none"/>
          <w:lang w:val="en-US" w:eastAsia="zh-CN"/>
        </w:rPr>
        <w:t>SZGGZYHCDL202501</w:t>
      </w:r>
    </w:p>
    <w:p w14:paraId="73F2B8C5">
      <w:pPr>
        <w:pStyle w:val="5"/>
        <w:pageBreakBefore w:val="0"/>
        <w:kinsoku/>
        <w:topLinePunct w:val="0"/>
        <w:bidi w:val="0"/>
        <w:spacing w:line="580" w:lineRule="exact"/>
        <w:rPr>
          <w:color w:val="auto"/>
          <w:highlight w:val="none"/>
          <w:u w:val="none"/>
        </w:rPr>
      </w:pPr>
    </w:p>
    <w:p w14:paraId="1CBCED35">
      <w:pPr>
        <w:pageBreakBefore w:val="0"/>
        <w:kinsoku/>
        <w:topLinePunct w:val="0"/>
        <w:bidi w:val="0"/>
        <w:spacing w:line="580" w:lineRule="exact"/>
        <w:rPr>
          <w:rFonts w:asciiTheme="majorEastAsia" w:hAnsiTheme="majorEastAsia" w:eastAsiaTheme="majorEastAsia" w:cstheme="majorEastAsia"/>
          <w:b/>
          <w:color w:val="auto"/>
          <w:sz w:val="36"/>
          <w:szCs w:val="36"/>
          <w:highlight w:val="none"/>
          <w:u w:val="none"/>
        </w:rPr>
      </w:pPr>
    </w:p>
    <w:p w14:paraId="325E3370">
      <w:pPr>
        <w:pageBreakBefore w:val="0"/>
        <w:kinsoku/>
        <w:topLinePunct w:val="0"/>
        <w:bidi w:val="0"/>
        <w:spacing w:line="580" w:lineRule="exact"/>
        <w:rPr>
          <w:rFonts w:hAnsi="仿宋" w:eastAsia="仿宋"/>
          <w:bCs/>
          <w:color w:val="auto"/>
          <w:sz w:val="36"/>
          <w:szCs w:val="36"/>
          <w:highlight w:val="none"/>
          <w:u w:val="none"/>
        </w:rPr>
      </w:pPr>
      <w:r>
        <w:rPr>
          <w:rFonts w:hint="eastAsia" w:asciiTheme="majorEastAsia" w:hAnsiTheme="majorEastAsia" w:eastAsiaTheme="majorEastAsia" w:cstheme="majorEastAsia"/>
          <w:b/>
          <w:color w:val="auto"/>
          <w:sz w:val="36"/>
          <w:szCs w:val="36"/>
          <w:highlight w:val="none"/>
          <w:u w:val="none"/>
        </w:rPr>
        <w:t xml:space="preserve">                                      </w:t>
      </w:r>
      <w:r>
        <w:rPr>
          <w:rFonts w:hint="eastAsia" w:eastAsia="仿宋"/>
          <w:bCs/>
          <w:color w:val="auto"/>
          <w:sz w:val="36"/>
          <w:szCs w:val="36"/>
          <w:highlight w:val="none"/>
          <w:u w:val="none"/>
        </w:rPr>
        <w:t xml:space="preserve">                 </w:t>
      </w:r>
    </w:p>
    <w:p w14:paraId="3374E1F8">
      <w:pPr>
        <w:pStyle w:val="5"/>
        <w:pageBreakBefore w:val="0"/>
        <w:kinsoku/>
        <w:topLinePunct w:val="0"/>
        <w:bidi w:val="0"/>
        <w:spacing w:line="580" w:lineRule="exact"/>
        <w:rPr>
          <w:rFonts w:eastAsia="仿宋"/>
          <w:color w:val="auto"/>
          <w:sz w:val="32"/>
          <w:szCs w:val="32"/>
          <w:highlight w:val="none"/>
          <w:u w:val="none"/>
        </w:rPr>
      </w:pPr>
    </w:p>
    <w:p w14:paraId="766DFA2E">
      <w:pPr>
        <w:pageBreakBefore w:val="0"/>
        <w:kinsoku/>
        <w:topLinePunct w:val="0"/>
        <w:bidi w:val="0"/>
        <w:spacing w:line="580" w:lineRule="exact"/>
        <w:rPr>
          <w:rFonts w:ascii="仿宋" w:hAnsi="仿宋" w:eastAsia="仿宋" w:cs="仿宋"/>
          <w:color w:val="auto"/>
          <w:sz w:val="32"/>
          <w:szCs w:val="32"/>
          <w:highlight w:val="none"/>
          <w:u w:val="none"/>
        </w:rPr>
      </w:pPr>
    </w:p>
    <w:p w14:paraId="74FBAC61">
      <w:pPr>
        <w:pageBreakBefore w:val="0"/>
        <w:kinsoku/>
        <w:topLinePunct w:val="0"/>
        <w:bidi w:val="0"/>
        <w:spacing w:line="580" w:lineRule="exact"/>
        <w:ind w:left="0" w:firstLine="640" w:firstLineChars="200"/>
        <w:jc w:val="center"/>
        <w:rPr>
          <w:rFonts w:hint="eastAsia" w:ascii="华文中宋" w:hAnsi="华文中宋" w:eastAsia="华文中宋"/>
          <w:b w:val="0"/>
          <w:bCs w:val="0"/>
          <w:color w:val="auto"/>
          <w:kern w:val="2"/>
          <w:sz w:val="32"/>
          <w:highlight w:val="none"/>
          <w:u w:val="none"/>
        </w:rPr>
      </w:pPr>
      <w:bookmarkStart w:id="2" w:name="_Toc5679"/>
    </w:p>
    <w:p w14:paraId="44F59D1B">
      <w:pPr>
        <w:pageBreakBefore w:val="0"/>
        <w:kinsoku/>
        <w:topLinePunct w:val="0"/>
        <w:bidi w:val="0"/>
        <w:spacing w:line="580" w:lineRule="exact"/>
        <w:ind w:left="0" w:firstLine="640" w:firstLineChars="200"/>
        <w:jc w:val="center"/>
        <w:rPr>
          <w:rFonts w:hint="eastAsia" w:ascii="华文中宋" w:hAnsi="华文中宋" w:eastAsia="华文中宋"/>
          <w:b w:val="0"/>
          <w:bCs w:val="0"/>
          <w:color w:val="auto"/>
          <w:kern w:val="2"/>
          <w:sz w:val="32"/>
          <w:highlight w:val="none"/>
          <w:u w:val="none"/>
        </w:rPr>
      </w:pPr>
    </w:p>
    <w:p w14:paraId="58EA70B0">
      <w:pPr>
        <w:pageBreakBefore w:val="0"/>
        <w:kinsoku/>
        <w:topLinePunct w:val="0"/>
        <w:bidi w:val="0"/>
        <w:spacing w:line="580" w:lineRule="exact"/>
        <w:ind w:left="0" w:firstLine="640" w:firstLineChars="200"/>
        <w:jc w:val="center"/>
        <w:rPr>
          <w:rFonts w:hint="eastAsia" w:ascii="华文中宋" w:hAnsi="华文中宋" w:eastAsia="华文中宋"/>
          <w:b w:val="0"/>
          <w:bCs w:val="0"/>
          <w:color w:val="auto"/>
          <w:kern w:val="2"/>
          <w:sz w:val="32"/>
          <w:highlight w:val="none"/>
          <w:u w:val="none"/>
        </w:rPr>
      </w:pPr>
    </w:p>
    <w:p w14:paraId="476CA1DC">
      <w:pPr>
        <w:pageBreakBefore w:val="0"/>
        <w:kinsoku/>
        <w:topLinePunct w:val="0"/>
        <w:bidi w:val="0"/>
        <w:spacing w:line="580" w:lineRule="exact"/>
        <w:ind w:left="0" w:firstLine="640" w:firstLineChars="200"/>
        <w:jc w:val="center"/>
        <w:rPr>
          <w:rFonts w:hint="eastAsia" w:ascii="华文中宋" w:hAnsi="华文中宋" w:eastAsia="华文中宋"/>
          <w:b w:val="0"/>
          <w:bCs w:val="0"/>
          <w:color w:val="auto"/>
          <w:kern w:val="2"/>
          <w:sz w:val="32"/>
          <w:highlight w:val="none"/>
          <w:u w:val="none"/>
        </w:rPr>
      </w:pPr>
    </w:p>
    <w:p w14:paraId="436288F2">
      <w:pPr>
        <w:pageBreakBefore w:val="0"/>
        <w:kinsoku/>
        <w:topLinePunct w:val="0"/>
        <w:bidi w:val="0"/>
        <w:spacing w:line="580" w:lineRule="exact"/>
        <w:ind w:left="0" w:firstLine="640" w:firstLineChars="200"/>
        <w:jc w:val="center"/>
        <w:rPr>
          <w:rFonts w:ascii="华文中宋" w:hAnsi="华文中宋" w:eastAsia="华文中宋"/>
          <w:color w:val="auto"/>
          <w:kern w:val="2"/>
          <w:sz w:val="32"/>
          <w:highlight w:val="none"/>
          <w:u w:val="none"/>
        </w:rPr>
      </w:pPr>
      <w:r>
        <w:rPr>
          <w:rFonts w:hint="eastAsia" w:ascii="华文中宋" w:hAnsi="华文中宋" w:eastAsia="华文中宋"/>
          <w:b w:val="0"/>
          <w:bCs w:val="0"/>
          <w:color w:val="auto"/>
          <w:kern w:val="2"/>
          <w:sz w:val="32"/>
          <w:highlight w:val="none"/>
          <w:u w:val="none"/>
        </w:rPr>
        <w:t>深圳公共资源交易中心</w:t>
      </w:r>
      <w:bookmarkEnd w:id="2"/>
    </w:p>
    <w:p w14:paraId="31CF50CB">
      <w:pPr>
        <w:pageBreakBefore w:val="0"/>
        <w:kinsoku/>
        <w:topLinePunct w:val="0"/>
        <w:bidi w:val="0"/>
        <w:spacing w:line="580" w:lineRule="exact"/>
        <w:ind w:left="0" w:firstLine="640" w:firstLineChars="200"/>
        <w:jc w:val="center"/>
        <w:rPr>
          <w:rFonts w:hint="eastAsia" w:ascii="华文中宋" w:hAnsi="华文中宋" w:eastAsia="华文中宋"/>
          <w:color w:val="auto"/>
          <w:kern w:val="2"/>
          <w:sz w:val="32"/>
          <w:highlight w:val="none"/>
          <w:u w:val="none"/>
        </w:rPr>
      </w:pPr>
      <w:r>
        <w:rPr>
          <w:rFonts w:hint="eastAsia" w:ascii="华文中宋" w:hAnsi="华文中宋" w:eastAsia="华文中宋"/>
          <w:color w:val="auto"/>
          <w:kern w:val="2"/>
          <w:sz w:val="32"/>
          <w:highlight w:val="none"/>
          <w:u w:val="none"/>
        </w:rPr>
        <w:t xml:space="preserve"> 202</w:t>
      </w:r>
      <w:r>
        <w:rPr>
          <w:rFonts w:hint="eastAsia" w:ascii="华文中宋" w:hAnsi="华文中宋" w:eastAsia="华文中宋"/>
          <w:color w:val="auto"/>
          <w:kern w:val="2"/>
          <w:sz w:val="32"/>
          <w:highlight w:val="none"/>
          <w:u w:val="none"/>
          <w:lang w:val="en-US" w:eastAsia="zh-CN"/>
        </w:rPr>
        <w:t>5</w:t>
      </w:r>
      <w:r>
        <w:rPr>
          <w:rFonts w:hint="eastAsia" w:ascii="华文中宋" w:hAnsi="华文中宋" w:eastAsia="华文中宋"/>
          <w:color w:val="auto"/>
          <w:kern w:val="2"/>
          <w:sz w:val="32"/>
          <w:highlight w:val="none"/>
          <w:u w:val="none"/>
        </w:rPr>
        <w:t>年</w:t>
      </w:r>
      <w:r>
        <w:rPr>
          <w:rFonts w:hint="eastAsia" w:ascii="华文中宋" w:hAnsi="华文中宋" w:eastAsia="华文中宋"/>
          <w:color w:val="auto"/>
          <w:kern w:val="2"/>
          <w:sz w:val="32"/>
          <w:highlight w:val="none"/>
          <w:u w:val="none"/>
          <w:lang w:val="en-US" w:eastAsia="zh-CN"/>
        </w:rPr>
        <w:t>5</w:t>
      </w:r>
      <w:r>
        <w:rPr>
          <w:rFonts w:hint="eastAsia" w:ascii="华文中宋" w:hAnsi="华文中宋" w:eastAsia="华文中宋"/>
          <w:color w:val="auto"/>
          <w:kern w:val="2"/>
          <w:sz w:val="32"/>
          <w:highlight w:val="none"/>
          <w:u w:val="none"/>
        </w:rPr>
        <w:t>月</w:t>
      </w:r>
      <w:r>
        <w:rPr>
          <w:rFonts w:hint="eastAsia" w:ascii="华文中宋" w:hAnsi="华文中宋" w:eastAsia="华文中宋"/>
          <w:color w:val="auto"/>
          <w:kern w:val="2"/>
          <w:sz w:val="32"/>
          <w:highlight w:val="none"/>
          <w:u w:val="none"/>
        </w:rPr>
        <w:tab/>
      </w:r>
    </w:p>
    <w:p w14:paraId="7E5288D3">
      <w:pPr>
        <w:rPr>
          <w:rFonts w:hint="eastAsia" w:ascii="华文中宋" w:hAnsi="华文中宋" w:eastAsia="华文中宋"/>
          <w:color w:val="auto"/>
          <w:kern w:val="2"/>
          <w:sz w:val="32"/>
          <w:highlight w:val="none"/>
          <w:u w:val="none"/>
        </w:rPr>
      </w:pPr>
      <w:r>
        <w:rPr>
          <w:rFonts w:hint="eastAsia" w:ascii="华文中宋" w:hAnsi="华文中宋" w:eastAsia="华文中宋"/>
          <w:color w:val="auto"/>
          <w:kern w:val="2"/>
          <w:sz w:val="32"/>
          <w:highlight w:val="none"/>
          <w:u w:val="none"/>
        </w:rPr>
        <w:br w:type="page"/>
      </w:r>
    </w:p>
    <w:p w14:paraId="1A7C8B7B">
      <w:pPr>
        <w:pageBreakBefore w:val="0"/>
        <w:kinsoku/>
        <w:topLinePunct w:val="0"/>
        <w:bidi w:val="0"/>
        <w:spacing w:line="580" w:lineRule="exact"/>
        <w:ind w:left="0" w:firstLine="640" w:firstLineChars="200"/>
        <w:jc w:val="center"/>
        <w:rPr>
          <w:rFonts w:hint="eastAsia" w:ascii="华文中宋" w:hAnsi="华文中宋" w:eastAsia="华文中宋"/>
          <w:color w:val="auto"/>
          <w:kern w:val="2"/>
          <w:sz w:val="32"/>
          <w:highlight w:val="none"/>
          <w:u w:val="none"/>
        </w:rPr>
      </w:pPr>
    </w:p>
    <w:p w14:paraId="71921186">
      <w:pPr>
        <w:keepNext w:val="0"/>
        <w:keepLines w:val="0"/>
        <w:pageBreakBefore w:val="0"/>
        <w:tabs>
          <w:tab w:val="right" w:leader="dot" w:pos="8296"/>
        </w:tabs>
        <w:kinsoku/>
        <w:wordWrap/>
        <w:overflowPunct/>
        <w:topLinePunct w:val="0"/>
        <w:autoSpaceDE/>
        <w:autoSpaceDN/>
        <w:bidi w:val="0"/>
        <w:adjustRightInd/>
        <w:snapToGrid/>
        <w:spacing w:line="360" w:lineRule="exact"/>
        <w:ind w:firstLine="640" w:firstLineChars="200"/>
        <w:jc w:val="center"/>
        <w:textAlignment w:val="auto"/>
        <w:rPr>
          <w:rFonts w:hint="eastAsia" w:ascii="华文中宋" w:hAnsi="华文中宋" w:eastAsia="华文中宋" w:cs="华文中宋"/>
          <w:color w:val="auto"/>
          <w:kern w:val="2"/>
          <w:sz w:val="32"/>
          <w:szCs w:val="32"/>
          <w:highlight w:val="none"/>
          <w:u w:val="none"/>
        </w:rPr>
      </w:pPr>
      <w:r>
        <w:rPr>
          <w:rFonts w:hint="eastAsia" w:ascii="华文中宋" w:hAnsi="华文中宋" w:eastAsia="华文中宋" w:cs="华文中宋"/>
          <w:color w:val="auto"/>
          <w:kern w:val="2"/>
          <w:sz w:val="32"/>
          <w:szCs w:val="32"/>
          <w:highlight w:val="none"/>
          <w:u w:val="none"/>
        </w:rPr>
        <w:t>目   录</w:t>
      </w:r>
    </w:p>
    <w:p w14:paraId="7644BF9E">
      <w:pPr>
        <w:pStyle w:val="10"/>
        <w:keepNext w:val="0"/>
        <w:keepLines w:val="0"/>
        <w:pageBreakBefore w:val="0"/>
        <w:tabs>
          <w:tab w:val="right" w:leader="dot" w:pos="8844"/>
        </w:tabs>
        <w:kinsoku/>
        <w:wordWrap/>
        <w:overflowPunct/>
        <w:topLinePunct w:val="0"/>
        <w:autoSpaceDE/>
        <w:autoSpaceDN/>
        <w:bidi w:val="0"/>
        <w:adjustRightInd/>
        <w:snapToGrid/>
        <w:spacing w:line="340" w:lineRule="exact"/>
        <w:ind w:left="0"/>
        <w:jc w:val="both"/>
        <w:textAlignment w:val="auto"/>
        <w:rPr>
          <w:rFonts w:hint="eastAsia" w:ascii="仿宋_GB2312" w:hAnsi="仿宋_GB2312" w:eastAsia="仿宋_GB2312" w:cs="仿宋_GB2312"/>
          <w:b/>
          <w:bCs/>
          <w:color w:val="auto"/>
          <w:kern w:val="2"/>
          <w:sz w:val="24"/>
          <w:szCs w:val="24"/>
          <w:highlight w:val="none"/>
          <w:u w:val="none"/>
        </w:rPr>
      </w:pPr>
      <w:r>
        <w:rPr>
          <w:rFonts w:hint="eastAsia" w:ascii="仿宋_GB2312" w:hAnsi="仿宋_GB2312" w:eastAsia="仿宋_GB2312" w:cs="仿宋_GB2312"/>
          <w:b/>
          <w:bCs/>
          <w:color w:val="auto"/>
          <w:kern w:val="2"/>
          <w:sz w:val="24"/>
          <w:szCs w:val="24"/>
          <w:highlight w:val="none"/>
          <w:u w:val="none"/>
        </w:rPr>
        <w:fldChar w:fldCharType="begin"/>
      </w:r>
      <w:r>
        <w:rPr>
          <w:rFonts w:hint="eastAsia" w:ascii="仿宋_GB2312" w:hAnsi="仿宋_GB2312" w:eastAsia="仿宋_GB2312" w:cs="仿宋_GB2312"/>
          <w:b/>
          <w:bCs/>
          <w:color w:val="auto"/>
          <w:kern w:val="2"/>
          <w:sz w:val="24"/>
          <w:szCs w:val="24"/>
          <w:highlight w:val="none"/>
          <w:u w:val="none"/>
        </w:rPr>
        <w:instrText xml:space="preserve">TOC \o "1-3" \h \u </w:instrText>
      </w:r>
      <w:r>
        <w:rPr>
          <w:rFonts w:hint="eastAsia" w:ascii="仿宋_GB2312" w:hAnsi="仿宋_GB2312" w:eastAsia="仿宋_GB2312" w:cs="仿宋_GB2312"/>
          <w:b/>
          <w:bCs/>
          <w:color w:val="auto"/>
          <w:kern w:val="2"/>
          <w:sz w:val="24"/>
          <w:szCs w:val="24"/>
          <w:highlight w:val="none"/>
          <w:u w:val="none"/>
        </w:rPr>
        <w:fldChar w:fldCharType="separate"/>
      </w:r>
      <w:r>
        <w:rPr>
          <w:rFonts w:hint="eastAsia" w:ascii="仿宋_GB2312" w:hAnsi="仿宋_GB2312" w:eastAsia="仿宋_GB2312" w:cs="仿宋_GB2312"/>
          <w:b/>
          <w:bCs/>
          <w:color w:val="auto"/>
          <w:kern w:val="2"/>
          <w:sz w:val="24"/>
          <w:szCs w:val="24"/>
          <w:highlight w:val="none"/>
          <w:u w:val="none"/>
        </w:rPr>
        <w:fldChar w:fldCharType="begin"/>
      </w:r>
      <w:r>
        <w:rPr>
          <w:rFonts w:hint="eastAsia" w:ascii="仿宋_GB2312" w:hAnsi="仿宋_GB2312" w:eastAsia="仿宋_GB2312" w:cs="仿宋_GB2312"/>
          <w:b/>
          <w:bCs/>
          <w:color w:val="auto"/>
          <w:kern w:val="2"/>
          <w:sz w:val="24"/>
          <w:szCs w:val="24"/>
          <w:highlight w:val="none"/>
          <w:u w:val="none"/>
        </w:rPr>
        <w:instrText xml:space="preserve"> HYPERLINK \l _Toc21704 </w:instrText>
      </w:r>
      <w:r>
        <w:rPr>
          <w:rFonts w:hint="eastAsia" w:ascii="仿宋_GB2312" w:hAnsi="仿宋_GB2312" w:eastAsia="仿宋_GB2312" w:cs="仿宋_GB2312"/>
          <w:b/>
          <w:bCs/>
          <w:color w:val="auto"/>
          <w:kern w:val="2"/>
          <w:sz w:val="24"/>
          <w:szCs w:val="24"/>
          <w:highlight w:val="none"/>
          <w:u w:val="none"/>
        </w:rPr>
        <w:fldChar w:fldCharType="separate"/>
      </w:r>
      <w:r>
        <w:rPr>
          <w:rFonts w:hint="eastAsia" w:ascii="仿宋_GB2312" w:hAnsi="仿宋_GB2312" w:eastAsia="仿宋_GB2312" w:cs="仿宋_GB2312"/>
          <w:b/>
          <w:bCs/>
          <w:color w:val="auto"/>
          <w:kern w:val="2"/>
          <w:sz w:val="24"/>
          <w:szCs w:val="24"/>
          <w:highlight w:val="none"/>
          <w:u w:val="none"/>
          <w:lang w:val="en-US" w:eastAsia="zh-CN"/>
        </w:rPr>
        <w:t>第一部分 采购邀请</w:t>
      </w:r>
      <w:r>
        <w:rPr>
          <w:rFonts w:hint="eastAsia" w:ascii="仿宋_GB2312" w:hAnsi="仿宋_GB2312" w:eastAsia="仿宋_GB2312" w:cs="仿宋_GB2312"/>
          <w:b/>
          <w:bCs/>
          <w:color w:val="auto"/>
          <w:kern w:val="2"/>
          <w:sz w:val="24"/>
          <w:szCs w:val="24"/>
          <w:highlight w:val="none"/>
          <w:u w:val="none"/>
        </w:rPr>
        <w:tab/>
      </w:r>
      <w:r>
        <w:rPr>
          <w:rFonts w:hint="eastAsia" w:ascii="仿宋_GB2312" w:hAnsi="仿宋_GB2312" w:eastAsia="仿宋_GB2312" w:cs="仿宋_GB2312"/>
          <w:b/>
          <w:bCs/>
          <w:color w:val="auto"/>
          <w:kern w:val="2"/>
          <w:sz w:val="24"/>
          <w:szCs w:val="24"/>
          <w:highlight w:val="none"/>
          <w:u w:val="none"/>
        </w:rPr>
        <w:fldChar w:fldCharType="begin"/>
      </w:r>
      <w:r>
        <w:rPr>
          <w:rFonts w:hint="eastAsia" w:ascii="仿宋_GB2312" w:hAnsi="仿宋_GB2312" w:eastAsia="仿宋_GB2312" w:cs="仿宋_GB2312"/>
          <w:b/>
          <w:bCs/>
          <w:color w:val="auto"/>
          <w:kern w:val="2"/>
          <w:sz w:val="24"/>
          <w:szCs w:val="24"/>
          <w:highlight w:val="none"/>
          <w:u w:val="none"/>
        </w:rPr>
        <w:instrText xml:space="preserve"> PAGEREF _Toc21704 \h </w:instrText>
      </w:r>
      <w:r>
        <w:rPr>
          <w:rFonts w:hint="eastAsia" w:ascii="仿宋_GB2312" w:hAnsi="仿宋_GB2312" w:eastAsia="仿宋_GB2312" w:cs="仿宋_GB2312"/>
          <w:b/>
          <w:bCs/>
          <w:color w:val="auto"/>
          <w:kern w:val="2"/>
          <w:sz w:val="24"/>
          <w:szCs w:val="24"/>
          <w:highlight w:val="none"/>
          <w:u w:val="none"/>
        </w:rPr>
        <w:fldChar w:fldCharType="separate"/>
      </w:r>
      <w:r>
        <w:rPr>
          <w:rFonts w:hint="eastAsia" w:ascii="仿宋_GB2312" w:hAnsi="仿宋_GB2312" w:eastAsia="仿宋_GB2312" w:cs="仿宋_GB2312"/>
          <w:b/>
          <w:bCs/>
          <w:color w:val="auto"/>
          <w:kern w:val="2"/>
          <w:sz w:val="24"/>
          <w:szCs w:val="24"/>
          <w:highlight w:val="none"/>
          <w:u w:val="none"/>
        </w:rPr>
        <w:t>1</w:t>
      </w:r>
      <w:r>
        <w:rPr>
          <w:rFonts w:hint="eastAsia" w:ascii="仿宋_GB2312" w:hAnsi="仿宋_GB2312" w:eastAsia="仿宋_GB2312" w:cs="仿宋_GB2312"/>
          <w:b/>
          <w:bCs/>
          <w:color w:val="auto"/>
          <w:kern w:val="2"/>
          <w:sz w:val="24"/>
          <w:szCs w:val="24"/>
          <w:highlight w:val="none"/>
          <w:u w:val="none"/>
        </w:rPr>
        <w:fldChar w:fldCharType="end"/>
      </w:r>
      <w:r>
        <w:rPr>
          <w:rFonts w:hint="eastAsia" w:ascii="仿宋_GB2312" w:hAnsi="仿宋_GB2312" w:eastAsia="仿宋_GB2312" w:cs="仿宋_GB2312"/>
          <w:b/>
          <w:bCs/>
          <w:color w:val="auto"/>
          <w:kern w:val="2"/>
          <w:sz w:val="24"/>
          <w:szCs w:val="24"/>
          <w:highlight w:val="none"/>
          <w:u w:val="none"/>
        </w:rPr>
        <w:fldChar w:fldCharType="end"/>
      </w:r>
    </w:p>
    <w:p w14:paraId="3B510B79">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auto"/>
          <w:kern w:val="2"/>
          <w:sz w:val="24"/>
          <w:szCs w:val="24"/>
          <w:highlight w:val="none"/>
          <w:u w:val="none"/>
        </w:rPr>
      </w:pP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HYPERLINK \l _Toc21959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一、采购主体</w:t>
      </w:r>
      <w:r>
        <w:rPr>
          <w:rFonts w:hint="eastAsia" w:ascii="仿宋_GB2312" w:hAnsi="仿宋_GB2312" w:eastAsia="仿宋_GB2312" w:cs="仿宋_GB2312"/>
          <w:color w:val="auto"/>
          <w:kern w:val="2"/>
          <w:sz w:val="24"/>
          <w:szCs w:val="24"/>
          <w:highlight w:val="none"/>
          <w:u w:val="none"/>
        </w:rPr>
        <w:tab/>
      </w: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PAGEREF _Toc21959 \h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2</w:t>
      </w:r>
      <w:r>
        <w:rPr>
          <w:rFonts w:hint="eastAsia" w:ascii="仿宋_GB2312" w:hAnsi="仿宋_GB2312" w:eastAsia="仿宋_GB2312" w:cs="仿宋_GB2312"/>
          <w:color w:val="auto"/>
          <w:kern w:val="2"/>
          <w:sz w:val="24"/>
          <w:szCs w:val="24"/>
          <w:highlight w:val="none"/>
          <w:u w:val="none"/>
        </w:rPr>
        <w:fldChar w:fldCharType="end"/>
      </w:r>
      <w:r>
        <w:rPr>
          <w:rFonts w:hint="eastAsia" w:ascii="仿宋_GB2312" w:hAnsi="仿宋_GB2312" w:eastAsia="仿宋_GB2312" w:cs="仿宋_GB2312"/>
          <w:color w:val="auto"/>
          <w:kern w:val="2"/>
          <w:sz w:val="24"/>
          <w:szCs w:val="24"/>
          <w:highlight w:val="none"/>
          <w:u w:val="none"/>
        </w:rPr>
        <w:fldChar w:fldCharType="end"/>
      </w:r>
    </w:p>
    <w:p w14:paraId="3D6D20A7">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auto"/>
          <w:kern w:val="2"/>
          <w:sz w:val="24"/>
          <w:szCs w:val="24"/>
          <w:highlight w:val="none"/>
          <w:u w:val="none"/>
        </w:rPr>
      </w:pP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HYPERLINK \l _Toc7092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二、采购品种范围</w:t>
      </w:r>
      <w:r>
        <w:rPr>
          <w:rFonts w:hint="eastAsia" w:ascii="仿宋_GB2312" w:hAnsi="仿宋_GB2312" w:eastAsia="仿宋_GB2312" w:cs="仿宋_GB2312"/>
          <w:color w:val="auto"/>
          <w:kern w:val="2"/>
          <w:sz w:val="24"/>
          <w:szCs w:val="24"/>
          <w:highlight w:val="none"/>
          <w:u w:val="none"/>
          <w:lang w:eastAsia="zh-CN"/>
        </w:rPr>
        <w:t>、</w:t>
      </w:r>
      <w:r>
        <w:rPr>
          <w:rFonts w:hint="eastAsia" w:ascii="仿宋_GB2312" w:hAnsi="仿宋_GB2312" w:eastAsia="仿宋_GB2312" w:cs="仿宋_GB2312"/>
          <w:color w:val="auto"/>
          <w:kern w:val="2"/>
          <w:sz w:val="24"/>
          <w:szCs w:val="24"/>
          <w:highlight w:val="none"/>
          <w:u w:val="none"/>
          <w:lang w:val="en-US" w:eastAsia="zh-CN"/>
        </w:rPr>
        <w:t>产品</w:t>
      </w:r>
      <w:r>
        <w:rPr>
          <w:rFonts w:hint="eastAsia" w:ascii="仿宋_GB2312" w:hAnsi="仿宋_GB2312" w:eastAsia="仿宋_GB2312" w:cs="仿宋_GB2312"/>
          <w:color w:val="auto"/>
          <w:kern w:val="2"/>
          <w:sz w:val="24"/>
          <w:szCs w:val="24"/>
          <w:highlight w:val="none"/>
          <w:u w:val="none"/>
        </w:rPr>
        <w:t>分类</w:t>
      </w:r>
      <w:r>
        <w:rPr>
          <w:rFonts w:hint="eastAsia" w:ascii="仿宋_GB2312" w:hAnsi="仿宋_GB2312" w:eastAsia="仿宋_GB2312" w:cs="仿宋_GB2312"/>
          <w:color w:val="auto"/>
          <w:kern w:val="2"/>
          <w:sz w:val="24"/>
          <w:szCs w:val="24"/>
          <w:highlight w:val="none"/>
          <w:u w:val="none"/>
          <w:lang w:val="en-US" w:eastAsia="zh-CN"/>
        </w:rPr>
        <w:t>和最高有效申报价</w:t>
      </w:r>
      <w:r>
        <w:rPr>
          <w:rFonts w:hint="eastAsia" w:ascii="仿宋_GB2312" w:hAnsi="仿宋_GB2312" w:eastAsia="仿宋_GB2312" w:cs="仿宋_GB2312"/>
          <w:color w:val="auto"/>
          <w:kern w:val="2"/>
          <w:sz w:val="24"/>
          <w:szCs w:val="24"/>
          <w:highlight w:val="none"/>
          <w:u w:val="none"/>
        </w:rPr>
        <w:tab/>
      </w: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PAGEREF _Toc7092 \h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2</w:t>
      </w:r>
      <w:r>
        <w:rPr>
          <w:rFonts w:hint="eastAsia" w:ascii="仿宋_GB2312" w:hAnsi="仿宋_GB2312" w:eastAsia="仿宋_GB2312" w:cs="仿宋_GB2312"/>
          <w:color w:val="auto"/>
          <w:kern w:val="2"/>
          <w:sz w:val="24"/>
          <w:szCs w:val="24"/>
          <w:highlight w:val="none"/>
          <w:u w:val="none"/>
        </w:rPr>
        <w:fldChar w:fldCharType="end"/>
      </w:r>
      <w:r>
        <w:rPr>
          <w:rFonts w:hint="eastAsia" w:ascii="仿宋_GB2312" w:hAnsi="仿宋_GB2312" w:eastAsia="仿宋_GB2312" w:cs="仿宋_GB2312"/>
          <w:color w:val="auto"/>
          <w:kern w:val="2"/>
          <w:sz w:val="24"/>
          <w:szCs w:val="24"/>
          <w:highlight w:val="none"/>
          <w:u w:val="none"/>
        </w:rPr>
        <w:fldChar w:fldCharType="end"/>
      </w:r>
    </w:p>
    <w:p w14:paraId="2F427C03">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auto"/>
          <w:kern w:val="2"/>
          <w:sz w:val="24"/>
          <w:szCs w:val="24"/>
          <w:highlight w:val="none"/>
          <w:u w:val="none"/>
        </w:rPr>
      </w:pP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HYPERLINK \l _Toc28643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lang w:val="en-US" w:eastAsia="zh-CN"/>
        </w:rPr>
        <w:t>三</w:t>
      </w:r>
      <w:r>
        <w:rPr>
          <w:rFonts w:hint="eastAsia" w:ascii="仿宋_GB2312" w:hAnsi="仿宋_GB2312" w:eastAsia="仿宋_GB2312" w:cs="仿宋_GB2312"/>
          <w:color w:val="auto"/>
          <w:kern w:val="2"/>
          <w:sz w:val="24"/>
          <w:szCs w:val="24"/>
          <w:highlight w:val="none"/>
          <w:u w:val="none"/>
        </w:rPr>
        <w:t>、申报要求</w:t>
      </w:r>
      <w:r>
        <w:rPr>
          <w:rFonts w:hint="eastAsia" w:ascii="仿宋_GB2312" w:hAnsi="仿宋_GB2312" w:eastAsia="仿宋_GB2312" w:cs="仿宋_GB2312"/>
          <w:color w:val="auto"/>
          <w:kern w:val="2"/>
          <w:sz w:val="24"/>
          <w:szCs w:val="24"/>
          <w:highlight w:val="none"/>
          <w:u w:val="none"/>
        </w:rPr>
        <w:tab/>
      </w: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PAGEREF _Toc28643 \h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2</w:t>
      </w:r>
      <w:r>
        <w:rPr>
          <w:rFonts w:hint="eastAsia" w:ascii="仿宋_GB2312" w:hAnsi="仿宋_GB2312" w:eastAsia="仿宋_GB2312" w:cs="仿宋_GB2312"/>
          <w:color w:val="auto"/>
          <w:kern w:val="2"/>
          <w:sz w:val="24"/>
          <w:szCs w:val="24"/>
          <w:highlight w:val="none"/>
          <w:u w:val="none"/>
        </w:rPr>
        <w:fldChar w:fldCharType="end"/>
      </w:r>
      <w:r>
        <w:rPr>
          <w:rFonts w:hint="eastAsia" w:ascii="仿宋_GB2312" w:hAnsi="仿宋_GB2312" w:eastAsia="仿宋_GB2312" w:cs="仿宋_GB2312"/>
          <w:color w:val="auto"/>
          <w:kern w:val="2"/>
          <w:sz w:val="24"/>
          <w:szCs w:val="24"/>
          <w:highlight w:val="none"/>
          <w:u w:val="none"/>
        </w:rPr>
        <w:fldChar w:fldCharType="end"/>
      </w:r>
    </w:p>
    <w:p w14:paraId="0DF92330">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auto"/>
          <w:kern w:val="2"/>
          <w:sz w:val="24"/>
          <w:szCs w:val="24"/>
          <w:highlight w:val="none"/>
          <w:u w:val="none"/>
        </w:rPr>
      </w:pP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HYPERLINK \l _Toc8074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lang w:val="en-US" w:eastAsia="zh-CN"/>
        </w:rPr>
        <w:t>四</w:t>
      </w:r>
      <w:r>
        <w:rPr>
          <w:rFonts w:hint="eastAsia" w:ascii="仿宋_GB2312" w:hAnsi="仿宋_GB2312" w:eastAsia="仿宋_GB2312" w:cs="仿宋_GB2312"/>
          <w:color w:val="auto"/>
          <w:kern w:val="2"/>
          <w:sz w:val="24"/>
          <w:szCs w:val="24"/>
          <w:highlight w:val="none"/>
          <w:u w:val="none"/>
        </w:rPr>
        <w:t>、</w:t>
      </w:r>
      <w:r>
        <w:rPr>
          <w:rFonts w:hint="eastAsia" w:ascii="仿宋_GB2312" w:hAnsi="仿宋_GB2312" w:eastAsia="仿宋_GB2312" w:cs="仿宋_GB2312"/>
          <w:color w:val="auto"/>
          <w:kern w:val="2"/>
          <w:sz w:val="24"/>
          <w:szCs w:val="24"/>
          <w:highlight w:val="none"/>
          <w:u w:val="none"/>
          <w:lang w:val="en-US" w:eastAsia="zh-CN"/>
        </w:rPr>
        <w:t>采购周期和</w:t>
      </w:r>
      <w:r>
        <w:rPr>
          <w:rFonts w:hint="eastAsia" w:ascii="仿宋_GB2312" w:hAnsi="仿宋_GB2312" w:eastAsia="仿宋_GB2312" w:cs="仿宋_GB2312"/>
          <w:color w:val="auto"/>
          <w:kern w:val="2"/>
          <w:sz w:val="24"/>
          <w:szCs w:val="24"/>
          <w:highlight w:val="none"/>
          <w:u w:val="none"/>
        </w:rPr>
        <w:t>采购协议</w:t>
      </w:r>
      <w:r>
        <w:rPr>
          <w:rFonts w:hint="eastAsia" w:ascii="仿宋_GB2312" w:hAnsi="仿宋_GB2312" w:eastAsia="仿宋_GB2312" w:cs="仿宋_GB2312"/>
          <w:color w:val="auto"/>
          <w:kern w:val="2"/>
          <w:sz w:val="24"/>
          <w:szCs w:val="24"/>
          <w:highlight w:val="none"/>
          <w:u w:val="none"/>
        </w:rPr>
        <w:tab/>
      </w: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PAGEREF _Toc8074 \h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4</w:t>
      </w:r>
      <w:r>
        <w:rPr>
          <w:rFonts w:hint="eastAsia" w:ascii="仿宋_GB2312" w:hAnsi="仿宋_GB2312" w:eastAsia="仿宋_GB2312" w:cs="仿宋_GB2312"/>
          <w:color w:val="auto"/>
          <w:kern w:val="2"/>
          <w:sz w:val="24"/>
          <w:szCs w:val="24"/>
          <w:highlight w:val="none"/>
          <w:u w:val="none"/>
        </w:rPr>
        <w:fldChar w:fldCharType="end"/>
      </w:r>
      <w:r>
        <w:rPr>
          <w:rFonts w:hint="eastAsia" w:ascii="仿宋_GB2312" w:hAnsi="仿宋_GB2312" w:eastAsia="仿宋_GB2312" w:cs="仿宋_GB2312"/>
          <w:color w:val="auto"/>
          <w:kern w:val="2"/>
          <w:sz w:val="24"/>
          <w:szCs w:val="24"/>
          <w:highlight w:val="none"/>
          <w:u w:val="none"/>
        </w:rPr>
        <w:fldChar w:fldCharType="end"/>
      </w:r>
    </w:p>
    <w:p w14:paraId="471D7777">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auto"/>
          <w:kern w:val="2"/>
          <w:sz w:val="24"/>
          <w:szCs w:val="24"/>
          <w:highlight w:val="none"/>
          <w:u w:val="none"/>
        </w:rPr>
      </w:pP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HYPERLINK \l _Toc31638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lang w:val="en-US" w:eastAsia="zh-CN"/>
        </w:rPr>
        <w:t>五</w:t>
      </w:r>
      <w:r>
        <w:rPr>
          <w:rFonts w:hint="eastAsia" w:ascii="仿宋_GB2312" w:hAnsi="仿宋_GB2312" w:eastAsia="仿宋_GB2312" w:cs="仿宋_GB2312"/>
          <w:color w:val="auto"/>
          <w:kern w:val="2"/>
          <w:sz w:val="24"/>
          <w:szCs w:val="24"/>
          <w:highlight w:val="none"/>
          <w:u w:val="none"/>
        </w:rPr>
        <w:t>、采购执行说明</w:t>
      </w:r>
      <w:r>
        <w:rPr>
          <w:rFonts w:hint="eastAsia" w:ascii="仿宋_GB2312" w:hAnsi="仿宋_GB2312" w:eastAsia="仿宋_GB2312" w:cs="仿宋_GB2312"/>
          <w:color w:val="auto"/>
          <w:kern w:val="2"/>
          <w:sz w:val="24"/>
          <w:szCs w:val="24"/>
          <w:highlight w:val="none"/>
          <w:u w:val="none"/>
        </w:rPr>
        <w:tab/>
      </w: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PAGEREF _Toc31638 \h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5</w:t>
      </w:r>
      <w:r>
        <w:rPr>
          <w:rFonts w:hint="eastAsia" w:ascii="仿宋_GB2312" w:hAnsi="仿宋_GB2312" w:eastAsia="仿宋_GB2312" w:cs="仿宋_GB2312"/>
          <w:color w:val="auto"/>
          <w:kern w:val="2"/>
          <w:sz w:val="24"/>
          <w:szCs w:val="24"/>
          <w:highlight w:val="none"/>
          <w:u w:val="none"/>
        </w:rPr>
        <w:fldChar w:fldCharType="end"/>
      </w:r>
      <w:r>
        <w:rPr>
          <w:rFonts w:hint="eastAsia" w:ascii="仿宋_GB2312" w:hAnsi="仿宋_GB2312" w:eastAsia="仿宋_GB2312" w:cs="仿宋_GB2312"/>
          <w:color w:val="auto"/>
          <w:kern w:val="2"/>
          <w:sz w:val="24"/>
          <w:szCs w:val="24"/>
          <w:highlight w:val="none"/>
          <w:u w:val="none"/>
        </w:rPr>
        <w:fldChar w:fldCharType="end"/>
      </w:r>
    </w:p>
    <w:p w14:paraId="4E8C6B89">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auto"/>
          <w:kern w:val="2"/>
          <w:sz w:val="24"/>
          <w:szCs w:val="24"/>
          <w:highlight w:val="none"/>
          <w:u w:val="none"/>
        </w:rPr>
      </w:pP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HYPERLINK \l _Toc23276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lang w:val="en-US" w:eastAsia="zh-CN"/>
        </w:rPr>
        <w:t>六</w:t>
      </w:r>
      <w:r>
        <w:rPr>
          <w:rFonts w:hint="eastAsia" w:ascii="仿宋_GB2312" w:hAnsi="仿宋_GB2312" w:eastAsia="仿宋_GB2312" w:cs="仿宋_GB2312"/>
          <w:color w:val="auto"/>
          <w:kern w:val="2"/>
          <w:sz w:val="24"/>
          <w:szCs w:val="24"/>
          <w:highlight w:val="none"/>
          <w:u w:val="none"/>
        </w:rPr>
        <w:t>、信息发布渠道</w:t>
      </w:r>
      <w:r>
        <w:rPr>
          <w:rFonts w:hint="eastAsia" w:ascii="仿宋_GB2312" w:hAnsi="仿宋_GB2312" w:eastAsia="仿宋_GB2312" w:cs="仿宋_GB2312"/>
          <w:color w:val="auto"/>
          <w:kern w:val="2"/>
          <w:sz w:val="24"/>
          <w:szCs w:val="24"/>
          <w:highlight w:val="none"/>
          <w:u w:val="none"/>
        </w:rPr>
        <w:tab/>
      </w: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PAGEREF _Toc23276 \h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5</w:t>
      </w:r>
      <w:r>
        <w:rPr>
          <w:rFonts w:hint="eastAsia" w:ascii="仿宋_GB2312" w:hAnsi="仿宋_GB2312" w:eastAsia="仿宋_GB2312" w:cs="仿宋_GB2312"/>
          <w:color w:val="auto"/>
          <w:kern w:val="2"/>
          <w:sz w:val="24"/>
          <w:szCs w:val="24"/>
          <w:highlight w:val="none"/>
          <w:u w:val="none"/>
        </w:rPr>
        <w:fldChar w:fldCharType="end"/>
      </w:r>
      <w:r>
        <w:rPr>
          <w:rFonts w:hint="eastAsia" w:ascii="仿宋_GB2312" w:hAnsi="仿宋_GB2312" w:eastAsia="仿宋_GB2312" w:cs="仿宋_GB2312"/>
          <w:color w:val="auto"/>
          <w:kern w:val="2"/>
          <w:sz w:val="24"/>
          <w:szCs w:val="24"/>
          <w:highlight w:val="none"/>
          <w:u w:val="none"/>
        </w:rPr>
        <w:fldChar w:fldCharType="end"/>
      </w:r>
    </w:p>
    <w:p w14:paraId="568F458B">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auto"/>
          <w:kern w:val="2"/>
          <w:sz w:val="24"/>
          <w:szCs w:val="24"/>
          <w:highlight w:val="none"/>
          <w:u w:val="none"/>
        </w:rPr>
      </w:pP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HYPERLINK \l _Toc22441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lang w:val="en-US" w:eastAsia="zh-CN"/>
        </w:rPr>
        <w:t>七</w:t>
      </w:r>
      <w:r>
        <w:rPr>
          <w:rFonts w:hint="eastAsia" w:ascii="仿宋_GB2312" w:hAnsi="仿宋_GB2312" w:eastAsia="仿宋_GB2312" w:cs="仿宋_GB2312"/>
          <w:color w:val="auto"/>
          <w:kern w:val="2"/>
          <w:sz w:val="24"/>
          <w:szCs w:val="24"/>
          <w:highlight w:val="none"/>
          <w:u w:val="none"/>
        </w:rPr>
        <w:t>、网上报名要求</w:t>
      </w:r>
      <w:r>
        <w:rPr>
          <w:rFonts w:hint="eastAsia" w:ascii="仿宋_GB2312" w:hAnsi="仿宋_GB2312" w:eastAsia="仿宋_GB2312" w:cs="仿宋_GB2312"/>
          <w:color w:val="auto"/>
          <w:kern w:val="2"/>
          <w:sz w:val="24"/>
          <w:szCs w:val="24"/>
          <w:highlight w:val="none"/>
          <w:u w:val="none"/>
        </w:rPr>
        <w:tab/>
      </w: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PAGEREF _Toc22441 \h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5</w:t>
      </w:r>
      <w:r>
        <w:rPr>
          <w:rFonts w:hint="eastAsia" w:ascii="仿宋_GB2312" w:hAnsi="仿宋_GB2312" w:eastAsia="仿宋_GB2312" w:cs="仿宋_GB2312"/>
          <w:color w:val="auto"/>
          <w:kern w:val="2"/>
          <w:sz w:val="24"/>
          <w:szCs w:val="24"/>
          <w:highlight w:val="none"/>
          <w:u w:val="none"/>
        </w:rPr>
        <w:fldChar w:fldCharType="end"/>
      </w:r>
      <w:r>
        <w:rPr>
          <w:rFonts w:hint="eastAsia" w:ascii="仿宋_GB2312" w:hAnsi="仿宋_GB2312" w:eastAsia="仿宋_GB2312" w:cs="仿宋_GB2312"/>
          <w:color w:val="auto"/>
          <w:kern w:val="2"/>
          <w:sz w:val="24"/>
          <w:szCs w:val="24"/>
          <w:highlight w:val="none"/>
          <w:u w:val="none"/>
        </w:rPr>
        <w:fldChar w:fldCharType="end"/>
      </w:r>
    </w:p>
    <w:p w14:paraId="1C6C54E1">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auto"/>
          <w:kern w:val="2"/>
          <w:sz w:val="24"/>
          <w:szCs w:val="24"/>
          <w:highlight w:val="none"/>
          <w:u w:val="none"/>
        </w:rPr>
      </w:pP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HYPERLINK \l _Toc29098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lang w:val="en-US" w:eastAsia="zh-CN"/>
        </w:rPr>
        <w:t>八、报价安排</w:t>
      </w:r>
      <w:r>
        <w:rPr>
          <w:rFonts w:hint="eastAsia" w:ascii="仿宋_GB2312" w:hAnsi="仿宋_GB2312" w:eastAsia="仿宋_GB2312" w:cs="仿宋_GB2312"/>
          <w:color w:val="auto"/>
          <w:kern w:val="2"/>
          <w:sz w:val="24"/>
          <w:szCs w:val="24"/>
          <w:highlight w:val="none"/>
          <w:u w:val="none"/>
        </w:rPr>
        <w:tab/>
      </w: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PAGEREF _Toc29098 \h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5</w:t>
      </w:r>
      <w:r>
        <w:rPr>
          <w:rFonts w:hint="eastAsia" w:ascii="仿宋_GB2312" w:hAnsi="仿宋_GB2312" w:eastAsia="仿宋_GB2312" w:cs="仿宋_GB2312"/>
          <w:color w:val="auto"/>
          <w:kern w:val="2"/>
          <w:sz w:val="24"/>
          <w:szCs w:val="24"/>
          <w:highlight w:val="none"/>
          <w:u w:val="none"/>
        </w:rPr>
        <w:fldChar w:fldCharType="end"/>
      </w:r>
      <w:r>
        <w:rPr>
          <w:rFonts w:hint="eastAsia" w:ascii="仿宋_GB2312" w:hAnsi="仿宋_GB2312" w:eastAsia="仿宋_GB2312" w:cs="仿宋_GB2312"/>
          <w:color w:val="auto"/>
          <w:kern w:val="2"/>
          <w:sz w:val="24"/>
          <w:szCs w:val="24"/>
          <w:highlight w:val="none"/>
          <w:u w:val="none"/>
        </w:rPr>
        <w:fldChar w:fldCharType="end"/>
      </w:r>
    </w:p>
    <w:p w14:paraId="0F384BA3">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auto"/>
          <w:kern w:val="2"/>
          <w:sz w:val="24"/>
          <w:szCs w:val="24"/>
          <w:highlight w:val="none"/>
          <w:u w:val="none"/>
        </w:rPr>
      </w:pP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HYPERLINK \l _Toc4527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lang w:val="en-US" w:eastAsia="zh-CN"/>
        </w:rPr>
        <w:t>九</w:t>
      </w:r>
      <w:r>
        <w:rPr>
          <w:rFonts w:hint="eastAsia" w:ascii="仿宋_GB2312" w:hAnsi="仿宋_GB2312" w:eastAsia="仿宋_GB2312" w:cs="仿宋_GB2312"/>
          <w:color w:val="auto"/>
          <w:kern w:val="2"/>
          <w:sz w:val="24"/>
          <w:szCs w:val="24"/>
          <w:highlight w:val="none"/>
          <w:u w:val="none"/>
        </w:rPr>
        <w:t>、联系方式</w:t>
      </w:r>
      <w:r>
        <w:rPr>
          <w:rFonts w:hint="eastAsia" w:ascii="仿宋_GB2312" w:hAnsi="仿宋_GB2312" w:eastAsia="仿宋_GB2312" w:cs="仿宋_GB2312"/>
          <w:color w:val="auto"/>
          <w:kern w:val="2"/>
          <w:sz w:val="24"/>
          <w:szCs w:val="24"/>
          <w:highlight w:val="none"/>
          <w:u w:val="none"/>
        </w:rPr>
        <w:tab/>
      </w: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PAGEREF _Toc4527 \h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6</w:t>
      </w:r>
      <w:r>
        <w:rPr>
          <w:rFonts w:hint="eastAsia" w:ascii="仿宋_GB2312" w:hAnsi="仿宋_GB2312" w:eastAsia="仿宋_GB2312" w:cs="仿宋_GB2312"/>
          <w:color w:val="auto"/>
          <w:kern w:val="2"/>
          <w:sz w:val="24"/>
          <w:szCs w:val="24"/>
          <w:highlight w:val="none"/>
          <w:u w:val="none"/>
        </w:rPr>
        <w:fldChar w:fldCharType="end"/>
      </w:r>
      <w:r>
        <w:rPr>
          <w:rFonts w:hint="eastAsia" w:ascii="仿宋_GB2312" w:hAnsi="仿宋_GB2312" w:eastAsia="仿宋_GB2312" w:cs="仿宋_GB2312"/>
          <w:color w:val="auto"/>
          <w:kern w:val="2"/>
          <w:sz w:val="24"/>
          <w:szCs w:val="24"/>
          <w:highlight w:val="none"/>
          <w:u w:val="none"/>
        </w:rPr>
        <w:fldChar w:fldCharType="end"/>
      </w:r>
    </w:p>
    <w:p w14:paraId="21FCDDCA">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auto"/>
          <w:kern w:val="2"/>
          <w:sz w:val="24"/>
          <w:szCs w:val="24"/>
          <w:highlight w:val="none"/>
          <w:u w:val="none"/>
        </w:rPr>
      </w:pP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HYPERLINK \l _Toc19319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lang w:val="en-US" w:eastAsia="zh-CN"/>
        </w:rPr>
        <w:t>十</w:t>
      </w:r>
      <w:r>
        <w:rPr>
          <w:rFonts w:hint="eastAsia" w:ascii="仿宋_GB2312" w:hAnsi="仿宋_GB2312" w:eastAsia="仿宋_GB2312" w:cs="仿宋_GB2312"/>
          <w:color w:val="auto"/>
          <w:kern w:val="2"/>
          <w:sz w:val="24"/>
          <w:szCs w:val="24"/>
          <w:highlight w:val="none"/>
          <w:u w:val="none"/>
        </w:rPr>
        <w:t>、其他</w:t>
      </w:r>
      <w:r>
        <w:rPr>
          <w:rFonts w:hint="eastAsia" w:ascii="仿宋_GB2312" w:hAnsi="仿宋_GB2312" w:eastAsia="仿宋_GB2312" w:cs="仿宋_GB2312"/>
          <w:color w:val="auto"/>
          <w:kern w:val="2"/>
          <w:sz w:val="24"/>
          <w:szCs w:val="24"/>
          <w:highlight w:val="none"/>
          <w:u w:val="none"/>
        </w:rPr>
        <w:tab/>
      </w: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PAGEREF _Toc19319 \h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6</w:t>
      </w:r>
      <w:r>
        <w:rPr>
          <w:rFonts w:hint="eastAsia" w:ascii="仿宋_GB2312" w:hAnsi="仿宋_GB2312" w:eastAsia="仿宋_GB2312" w:cs="仿宋_GB2312"/>
          <w:color w:val="auto"/>
          <w:kern w:val="2"/>
          <w:sz w:val="24"/>
          <w:szCs w:val="24"/>
          <w:highlight w:val="none"/>
          <w:u w:val="none"/>
        </w:rPr>
        <w:fldChar w:fldCharType="end"/>
      </w:r>
      <w:r>
        <w:rPr>
          <w:rFonts w:hint="eastAsia" w:ascii="仿宋_GB2312" w:hAnsi="仿宋_GB2312" w:eastAsia="仿宋_GB2312" w:cs="仿宋_GB2312"/>
          <w:color w:val="auto"/>
          <w:kern w:val="2"/>
          <w:sz w:val="24"/>
          <w:szCs w:val="24"/>
          <w:highlight w:val="none"/>
          <w:u w:val="none"/>
        </w:rPr>
        <w:fldChar w:fldCharType="end"/>
      </w:r>
    </w:p>
    <w:p w14:paraId="58F0F594">
      <w:pPr>
        <w:pStyle w:val="10"/>
        <w:keepNext w:val="0"/>
        <w:keepLines w:val="0"/>
        <w:pageBreakBefore w:val="0"/>
        <w:tabs>
          <w:tab w:val="right" w:leader="dot" w:pos="8844"/>
        </w:tabs>
        <w:kinsoku/>
        <w:wordWrap/>
        <w:overflowPunct/>
        <w:topLinePunct w:val="0"/>
        <w:autoSpaceDE/>
        <w:autoSpaceDN/>
        <w:bidi w:val="0"/>
        <w:adjustRightInd/>
        <w:snapToGrid/>
        <w:spacing w:line="340" w:lineRule="exact"/>
        <w:ind w:left="0"/>
        <w:jc w:val="both"/>
        <w:textAlignment w:val="auto"/>
        <w:rPr>
          <w:rFonts w:hint="eastAsia" w:ascii="仿宋_GB2312" w:hAnsi="仿宋_GB2312" w:eastAsia="仿宋_GB2312" w:cs="仿宋_GB2312"/>
          <w:b/>
          <w:bCs/>
          <w:color w:val="auto"/>
          <w:kern w:val="2"/>
          <w:sz w:val="24"/>
          <w:szCs w:val="24"/>
          <w:highlight w:val="none"/>
          <w:u w:val="none"/>
        </w:rPr>
      </w:pPr>
      <w:r>
        <w:rPr>
          <w:rFonts w:hint="eastAsia" w:ascii="仿宋_GB2312" w:hAnsi="仿宋_GB2312" w:eastAsia="仿宋_GB2312" w:cs="仿宋_GB2312"/>
          <w:b/>
          <w:bCs/>
          <w:color w:val="auto"/>
          <w:kern w:val="2"/>
          <w:sz w:val="24"/>
          <w:szCs w:val="24"/>
          <w:highlight w:val="none"/>
          <w:u w:val="none"/>
        </w:rPr>
        <w:fldChar w:fldCharType="begin"/>
      </w:r>
      <w:r>
        <w:rPr>
          <w:rFonts w:hint="eastAsia" w:ascii="仿宋_GB2312" w:hAnsi="仿宋_GB2312" w:eastAsia="仿宋_GB2312" w:cs="仿宋_GB2312"/>
          <w:b/>
          <w:bCs/>
          <w:color w:val="auto"/>
          <w:kern w:val="2"/>
          <w:sz w:val="24"/>
          <w:szCs w:val="24"/>
          <w:highlight w:val="none"/>
          <w:u w:val="none"/>
        </w:rPr>
        <w:instrText xml:space="preserve"> HYPERLINK \l _Toc25801 </w:instrText>
      </w:r>
      <w:r>
        <w:rPr>
          <w:rFonts w:hint="eastAsia" w:ascii="仿宋_GB2312" w:hAnsi="仿宋_GB2312" w:eastAsia="仿宋_GB2312" w:cs="仿宋_GB2312"/>
          <w:b/>
          <w:bCs/>
          <w:color w:val="auto"/>
          <w:kern w:val="2"/>
          <w:sz w:val="24"/>
          <w:szCs w:val="24"/>
          <w:highlight w:val="none"/>
          <w:u w:val="none"/>
        </w:rPr>
        <w:fldChar w:fldCharType="separate"/>
      </w:r>
      <w:r>
        <w:rPr>
          <w:rFonts w:hint="eastAsia" w:ascii="仿宋_GB2312" w:hAnsi="仿宋_GB2312" w:eastAsia="仿宋_GB2312" w:cs="仿宋_GB2312"/>
          <w:b/>
          <w:bCs/>
          <w:color w:val="auto"/>
          <w:kern w:val="2"/>
          <w:sz w:val="24"/>
          <w:szCs w:val="24"/>
          <w:highlight w:val="none"/>
          <w:u w:val="none"/>
        </w:rPr>
        <w:t>第二部分 申报企业须知</w:t>
      </w:r>
      <w:r>
        <w:rPr>
          <w:rFonts w:hint="eastAsia" w:ascii="仿宋_GB2312" w:hAnsi="仿宋_GB2312" w:eastAsia="仿宋_GB2312" w:cs="仿宋_GB2312"/>
          <w:b/>
          <w:bCs/>
          <w:color w:val="auto"/>
          <w:kern w:val="2"/>
          <w:sz w:val="24"/>
          <w:szCs w:val="24"/>
          <w:highlight w:val="none"/>
          <w:u w:val="none"/>
        </w:rPr>
        <w:tab/>
      </w:r>
      <w:r>
        <w:rPr>
          <w:rFonts w:hint="eastAsia" w:ascii="仿宋_GB2312" w:hAnsi="仿宋_GB2312" w:eastAsia="仿宋_GB2312" w:cs="仿宋_GB2312"/>
          <w:b/>
          <w:bCs/>
          <w:color w:val="auto"/>
          <w:kern w:val="2"/>
          <w:sz w:val="24"/>
          <w:szCs w:val="24"/>
          <w:highlight w:val="none"/>
          <w:u w:val="none"/>
        </w:rPr>
        <w:fldChar w:fldCharType="begin"/>
      </w:r>
      <w:r>
        <w:rPr>
          <w:rFonts w:hint="eastAsia" w:ascii="仿宋_GB2312" w:hAnsi="仿宋_GB2312" w:eastAsia="仿宋_GB2312" w:cs="仿宋_GB2312"/>
          <w:b/>
          <w:bCs/>
          <w:color w:val="auto"/>
          <w:kern w:val="2"/>
          <w:sz w:val="24"/>
          <w:szCs w:val="24"/>
          <w:highlight w:val="none"/>
          <w:u w:val="none"/>
        </w:rPr>
        <w:instrText xml:space="preserve"> PAGEREF _Toc25801 \h </w:instrText>
      </w:r>
      <w:r>
        <w:rPr>
          <w:rFonts w:hint="eastAsia" w:ascii="仿宋_GB2312" w:hAnsi="仿宋_GB2312" w:eastAsia="仿宋_GB2312" w:cs="仿宋_GB2312"/>
          <w:b/>
          <w:bCs/>
          <w:color w:val="auto"/>
          <w:kern w:val="2"/>
          <w:sz w:val="24"/>
          <w:szCs w:val="24"/>
          <w:highlight w:val="none"/>
          <w:u w:val="none"/>
        </w:rPr>
        <w:fldChar w:fldCharType="separate"/>
      </w:r>
      <w:r>
        <w:rPr>
          <w:rFonts w:hint="eastAsia" w:ascii="仿宋_GB2312" w:hAnsi="仿宋_GB2312" w:eastAsia="仿宋_GB2312" w:cs="仿宋_GB2312"/>
          <w:b/>
          <w:bCs/>
          <w:color w:val="auto"/>
          <w:kern w:val="2"/>
          <w:sz w:val="24"/>
          <w:szCs w:val="24"/>
          <w:highlight w:val="none"/>
          <w:u w:val="none"/>
        </w:rPr>
        <w:t>7</w:t>
      </w:r>
      <w:r>
        <w:rPr>
          <w:rFonts w:hint="eastAsia" w:ascii="仿宋_GB2312" w:hAnsi="仿宋_GB2312" w:eastAsia="仿宋_GB2312" w:cs="仿宋_GB2312"/>
          <w:b/>
          <w:bCs/>
          <w:color w:val="auto"/>
          <w:kern w:val="2"/>
          <w:sz w:val="24"/>
          <w:szCs w:val="24"/>
          <w:highlight w:val="none"/>
          <w:u w:val="none"/>
        </w:rPr>
        <w:fldChar w:fldCharType="end"/>
      </w:r>
      <w:r>
        <w:rPr>
          <w:rFonts w:hint="eastAsia" w:ascii="仿宋_GB2312" w:hAnsi="仿宋_GB2312" w:eastAsia="仿宋_GB2312" w:cs="仿宋_GB2312"/>
          <w:b/>
          <w:bCs/>
          <w:color w:val="auto"/>
          <w:kern w:val="2"/>
          <w:sz w:val="24"/>
          <w:szCs w:val="24"/>
          <w:highlight w:val="none"/>
          <w:u w:val="none"/>
        </w:rPr>
        <w:fldChar w:fldCharType="end"/>
      </w:r>
    </w:p>
    <w:p w14:paraId="29F8529D">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auto"/>
          <w:kern w:val="2"/>
          <w:sz w:val="24"/>
          <w:szCs w:val="24"/>
          <w:highlight w:val="none"/>
          <w:u w:val="none"/>
        </w:rPr>
      </w:pP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HYPERLINK \l _Toc18501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一、</w:t>
      </w:r>
      <w:r>
        <w:rPr>
          <w:rFonts w:hint="eastAsia" w:ascii="仿宋_GB2312" w:hAnsi="仿宋_GB2312" w:eastAsia="仿宋_GB2312" w:cs="仿宋_GB2312"/>
          <w:color w:val="auto"/>
          <w:kern w:val="2"/>
          <w:sz w:val="24"/>
          <w:szCs w:val="24"/>
          <w:highlight w:val="none"/>
          <w:u w:val="none"/>
          <w:lang w:val="en-US" w:eastAsia="zh-CN"/>
        </w:rPr>
        <w:t>集中采购</w:t>
      </w:r>
      <w:r>
        <w:rPr>
          <w:rFonts w:hint="eastAsia" w:ascii="仿宋_GB2312" w:hAnsi="仿宋_GB2312" w:eastAsia="仿宋_GB2312" w:cs="仿宋_GB2312"/>
          <w:color w:val="auto"/>
          <w:kern w:val="2"/>
          <w:sz w:val="24"/>
          <w:szCs w:val="24"/>
          <w:highlight w:val="none"/>
          <w:u w:val="none"/>
        </w:rPr>
        <w:t>当事人</w:t>
      </w:r>
      <w:r>
        <w:rPr>
          <w:rFonts w:hint="eastAsia" w:ascii="仿宋_GB2312" w:hAnsi="仿宋_GB2312" w:eastAsia="仿宋_GB2312" w:cs="仿宋_GB2312"/>
          <w:color w:val="auto"/>
          <w:kern w:val="2"/>
          <w:sz w:val="24"/>
          <w:szCs w:val="24"/>
          <w:highlight w:val="none"/>
          <w:u w:val="none"/>
        </w:rPr>
        <w:tab/>
      </w: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PAGEREF _Toc18501 \h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8</w:t>
      </w:r>
      <w:r>
        <w:rPr>
          <w:rFonts w:hint="eastAsia" w:ascii="仿宋_GB2312" w:hAnsi="仿宋_GB2312" w:eastAsia="仿宋_GB2312" w:cs="仿宋_GB2312"/>
          <w:color w:val="auto"/>
          <w:kern w:val="2"/>
          <w:sz w:val="24"/>
          <w:szCs w:val="24"/>
          <w:highlight w:val="none"/>
          <w:u w:val="none"/>
        </w:rPr>
        <w:fldChar w:fldCharType="end"/>
      </w:r>
      <w:r>
        <w:rPr>
          <w:rFonts w:hint="eastAsia" w:ascii="仿宋_GB2312" w:hAnsi="仿宋_GB2312" w:eastAsia="仿宋_GB2312" w:cs="仿宋_GB2312"/>
          <w:color w:val="auto"/>
          <w:kern w:val="2"/>
          <w:sz w:val="24"/>
          <w:szCs w:val="24"/>
          <w:highlight w:val="none"/>
          <w:u w:val="none"/>
        </w:rPr>
        <w:fldChar w:fldCharType="end"/>
      </w:r>
    </w:p>
    <w:p w14:paraId="07CE1D0B">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auto"/>
          <w:kern w:val="2"/>
          <w:sz w:val="24"/>
          <w:szCs w:val="24"/>
          <w:highlight w:val="none"/>
          <w:u w:val="none"/>
        </w:rPr>
      </w:pP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HYPERLINK \l _Toc18799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二、申报材料编制</w:t>
      </w:r>
      <w:r>
        <w:rPr>
          <w:rFonts w:hint="eastAsia" w:ascii="仿宋_GB2312" w:hAnsi="仿宋_GB2312" w:eastAsia="仿宋_GB2312" w:cs="仿宋_GB2312"/>
          <w:color w:val="auto"/>
          <w:kern w:val="2"/>
          <w:sz w:val="24"/>
          <w:szCs w:val="24"/>
          <w:highlight w:val="none"/>
          <w:u w:val="none"/>
        </w:rPr>
        <w:tab/>
      </w: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PAGEREF _Toc18799 \h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9</w:t>
      </w:r>
      <w:r>
        <w:rPr>
          <w:rFonts w:hint="eastAsia" w:ascii="仿宋_GB2312" w:hAnsi="仿宋_GB2312" w:eastAsia="仿宋_GB2312" w:cs="仿宋_GB2312"/>
          <w:color w:val="auto"/>
          <w:kern w:val="2"/>
          <w:sz w:val="24"/>
          <w:szCs w:val="24"/>
          <w:highlight w:val="none"/>
          <w:u w:val="none"/>
        </w:rPr>
        <w:fldChar w:fldCharType="end"/>
      </w:r>
      <w:r>
        <w:rPr>
          <w:rFonts w:hint="eastAsia" w:ascii="仿宋_GB2312" w:hAnsi="仿宋_GB2312" w:eastAsia="仿宋_GB2312" w:cs="仿宋_GB2312"/>
          <w:color w:val="auto"/>
          <w:kern w:val="2"/>
          <w:sz w:val="24"/>
          <w:szCs w:val="24"/>
          <w:highlight w:val="none"/>
          <w:u w:val="none"/>
        </w:rPr>
        <w:fldChar w:fldCharType="end"/>
      </w:r>
    </w:p>
    <w:p w14:paraId="2C1F68B2">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auto"/>
          <w:kern w:val="2"/>
          <w:sz w:val="24"/>
          <w:szCs w:val="24"/>
          <w:highlight w:val="none"/>
          <w:u w:val="none"/>
        </w:rPr>
      </w:pP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HYPERLINK \l _Toc20576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lang w:val="en-US" w:eastAsia="zh-CN"/>
        </w:rPr>
        <w:t>三</w:t>
      </w:r>
      <w:r>
        <w:rPr>
          <w:rFonts w:hint="eastAsia" w:ascii="仿宋_GB2312" w:hAnsi="仿宋_GB2312" w:eastAsia="仿宋_GB2312" w:cs="仿宋_GB2312"/>
          <w:color w:val="auto"/>
          <w:kern w:val="2"/>
          <w:sz w:val="24"/>
          <w:szCs w:val="24"/>
          <w:highlight w:val="none"/>
          <w:u w:val="none"/>
        </w:rPr>
        <w:t>、</w:t>
      </w:r>
      <w:r>
        <w:rPr>
          <w:rFonts w:hint="eastAsia" w:ascii="仿宋_GB2312" w:hAnsi="仿宋_GB2312" w:eastAsia="仿宋_GB2312" w:cs="仿宋_GB2312"/>
          <w:color w:val="auto"/>
          <w:kern w:val="2"/>
          <w:sz w:val="24"/>
          <w:szCs w:val="24"/>
          <w:highlight w:val="none"/>
          <w:u w:val="none"/>
          <w:lang w:val="en-US" w:eastAsia="zh-CN"/>
        </w:rPr>
        <w:t>企业报价要求</w:t>
      </w:r>
      <w:r>
        <w:rPr>
          <w:rFonts w:hint="eastAsia" w:ascii="仿宋_GB2312" w:hAnsi="仿宋_GB2312" w:eastAsia="仿宋_GB2312" w:cs="仿宋_GB2312"/>
          <w:color w:val="auto"/>
          <w:kern w:val="2"/>
          <w:sz w:val="24"/>
          <w:szCs w:val="24"/>
          <w:highlight w:val="none"/>
          <w:u w:val="none"/>
        </w:rPr>
        <w:tab/>
      </w: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PAGEREF _Toc20576 \h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10</w:t>
      </w:r>
      <w:r>
        <w:rPr>
          <w:rFonts w:hint="eastAsia" w:ascii="仿宋_GB2312" w:hAnsi="仿宋_GB2312" w:eastAsia="仿宋_GB2312" w:cs="仿宋_GB2312"/>
          <w:color w:val="auto"/>
          <w:kern w:val="2"/>
          <w:sz w:val="24"/>
          <w:szCs w:val="24"/>
          <w:highlight w:val="none"/>
          <w:u w:val="none"/>
        </w:rPr>
        <w:fldChar w:fldCharType="end"/>
      </w:r>
      <w:r>
        <w:rPr>
          <w:rFonts w:hint="eastAsia" w:ascii="仿宋_GB2312" w:hAnsi="仿宋_GB2312" w:eastAsia="仿宋_GB2312" w:cs="仿宋_GB2312"/>
          <w:color w:val="auto"/>
          <w:kern w:val="2"/>
          <w:sz w:val="24"/>
          <w:szCs w:val="24"/>
          <w:highlight w:val="none"/>
          <w:u w:val="none"/>
        </w:rPr>
        <w:fldChar w:fldCharType="end"/>
      </w:r>
    </w:p>
    <w:p w14:paraId="05336512">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auto"/>
          <w:kern w:val="2"/>
          <w:sz w:val="24"/>
          <w:szCs w:val="24"/>
          <w:highlight w:val="none"/>
          <w:u w:val="none"/>
        </w:rPr>
      </w:pP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HYPERLINK \l _Toc22313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lang w:val="en-US" w:eastAsia="zh-CN"/>
        </w:rPr>
        <w:t>四</w:t>
      </w:r>
      <w:r>
        <w:rPr>
          <w:rFonts w:hint="eastAsia" w:ascii="仿宋_GB2312" w:hAnsi="仿宋_GB2312" w:eastAsia="仿宋_GB2312" w:cs="仿宋_GB2312"/>
          <w:color w:val="auto"/>
          <w:kern w:val="2"/>
          <w:sz w:val="24"/>
          <w:szCs w:val="24"/>
          <w:highlight w:val="none"/>
          <w:u w:val="none"/>
        </w:rPr>
        <w:t>、报价信息解密</w:t>
      </w:r>
      <w:r>
        <w:rPr>
          <w:rFonts w:hint="eastAsia" w:ascii="仿宋_GB2312" w:hAnsi="仿宋_GB2312" w:eastAsia="仿宋_GB2312" w:cs="仿宋_GB2312"/>
          <w:color w:val="auto"/>
          <w:kern w:val="2"/>
          <w:sz w:val="24"/>
          <w:szCs w:val="24"/>
          <w:highlight w:val="none"/>
          <w:u w:val="none"/>
        </w:rPr>
        <w:tab/>
      </w: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PAGEREF _Toc22313 \h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11</w:t>
      </w:r>
      <w:r>
        <w:rPr>
          <w:rFonts w:hint="eastAsia" w:ascii="仿宋_GB2312" w:hAnsi="仿宋_GB2312" w:eastAsia="仿宋_GB2312" w:cs="仿宋_GB2312"/>
          <w:color w:val="auto"/>
          <w:kern w:val="2"/>
          <w:sz w:val="24"/>
          <w:szCs w:val="24"/>
          <w:highlight w:val="none"/>
          <w:u w:val="none"/>
        </w:rPr>
        <w:fldChar w:fldCharType="end"/>
      </w:r>
      <w:r>
        <w:rPr>
          <w:rFonts w:hint="eastAsia" w:ascii="仿宋_GB2312" w:hAnsi="仿宋_GB2312" w:eastAsia="仿宋_GB2312" w:cs="仿宋_GB2312"/>
          <w:color w:val="auto"/>
          <w:kern w:val="2"/>
          <w:sz w:val="24"/>
          <w:szCs w:val="24"/>
          <w:highlight w:val="none"/>
          <w:u w:val="none"/>
        </w:rPr>
        <w:fldChar w:fldCharType="end"/>
      </w:r>
    </w:p>
    <w:p w14:paraId="2E33F0C5">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auto"/>
          <w:kern w:val="2"/>
          <w:sz w:val="24"/>
          <w:szCs w:val="24"/>
          <w:highlight w:val="none"/>
          <w:u w:val="none"/>
        </w:rPr>
      </w:pP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HYPERLINK \l _Toc26661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lang w:val="en-US" w:eastAsia="zh-CN"/>
        </w:rPr>
        <w:t>五</w:t>
      </w:r>
      <w:r>
        <w:rPr>
          <w:rFonts w:hint="eastAsia" w:ascii="仿宋_GB2312" w:hAnsi="仿宋_GB2312" w:eastAsia="仿宋_GB2312" w:cs="仿宋_GB2312"/>
          <w:color w:val="auto"/>
          <w:kern w:val="2"/>
          <w:sz w:val="24"/>
          <w:szCs w:val="24"/>
          <w:highlight w:val="none"/>
          <w:u w:val="none"/>
        </w:rPr>
        <w:t>、</w:t>
      </w:r>
      <w:r>
        <w:rPr>
          <w:rFonts w:hint="eastAsia" w:ascii="仿宋_GB2312" w:hAnsi="仿宋_GB2312" w:eastAsia="仿宋_GB2312" w:cs="仿宋_GB2312"/>
          <w:color w:val="auto"/>
          <w:kern w:val="2"/>
          <w:sz w:val="24"/>
          <w:szCs w:val="24"/>
          <w:highlight w:val="none"/>
          <w:u w:val="none"/>
          <w:lang w:val="en-US" w:eastAsia="zh-CN"/>
        </w:rPr>
        <w:t>中选结果确定</w:t>
      </w:r>
      <w:r>
        <w:rPr>
          <w:rFonts w:hint="eastAsia" w:ascii="仿宋_GB2312" w:hAnsi="仿宋_GB2312" w:eastAsia="仿宋_GB2312" w:cs="仿宋_GB2312"/>
          <w:color w:val="auto"/>
          <w:kern w:val="2"/>
          <w:sz w:val="24"/>
          <w:szCs w:val="24"/>
          <w:highlight w:val="none"/>
          <w:u w:val="none"/>
        </w:rPr>
        <w:tab/>
      </w: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PAGEREF _Toc26661 \h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11</w:t>
      </w:r>
      <w:r>
        <w:rPr>
          <w:rFonts w:hint="eastAsia" w:ascii="仿宋_GB2312" w:hAnsi="仿宋_GB2312" w:eastAsia="仿宋_GB2312" w:cs="仿宋_GB2312"/>
          <w:color w:val="auto"/>
          <w:kern w:val="2"/>
          <w:sz w:val="24"/>
          <w:szCs w:val="24"/>
          <w:highlight w:val="none"/>
          <w:u w:val="none"/>
        </w:rPr>
        <w:fldChar w:fldCharType="end"/>
      </w:r>
      <w:r>
        <w:rPr>
          <w:rFonts w:hint="eastAsia" w:ascii="仿宋_GB2312" w:hAnsi="仿宋_GB2312" w:eastAsia="仿宋_GB2312" w:cs="仿宋_GB2312"/>
          <w:color w:val="auto"/>
          <w:kern w:val="2"/>
          <w:sz w:val="24"/>
          <w:szCs w:val="24"/>
          <w:highlight w:val="none"/>
          <w:u w:val="none"/>
        </w:rPr>
        <w:fldChar w:fldCharType="end"/>
      </w:r>
    </w:p>
    <w:p w14:paraId="175F308B">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auto"/>
          <w:kern w:val="2"/>
          <w:sz w:val="24"/>
          <w:szCs w:val="24"/>
          <w:highlight w:val="none"/>
          <w:u w:val="none"/>
        </w:rPr>
      </w:pP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HYPERLINK \l _Toc25678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lang w:val="en-US" w:eastAsia="zh-CN"/>
        </w:rPr>
        <w:t>六、填报首年协议采购量</w:t>
      </w:r>
      <w:r>
        <w:rPr>
          <w:rFonts w:hint="eastAsia" w:ascii="仿宋_GB2312" w:hAnsi="仿宋_GB2312" w:eastAsia="仿宋_GB2312" w:cs="仿宋_GB2312"/>
          <w:color w:val="auto"/>
          <w:kern w:val="2"/>
          <w:sz w:val="24"/>
          <w:szCs w:val="24"/>
          <w:highlight w:val="none"/>
          <w:u w:val="none"/>
        </w:rPr>
        <w:tab/>
      </w: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PAGEREF _Toc25678 \h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13</w:t>
      </w:r>
      <w:r>
        <w:rPr>
          <w:rFonts w:hint="eastAsia" w:ascii="仿宋_GB2312" w:hAnsi="仿宋_GB2312" w:eastAsia="仿宋_GB2312" w:cs="仿宋_GB2312"/>
          <w:color w:val="auto"/>
          <w:kern w:val="2"/>
          <w:sz w:val="24"/>
          <w:szCs w:val="24"/>
          <w:highlight w:val="none"/>
          <w:u w:val="none"/>
        </w:rPr>
        <w:fldChar w:fldCharType="end"/>
      </w:r>
      <w:r>
        <w:rPr>
          <w:rFonts w:hint="eastAsia" w:ascii="仿宋_GB2312" w:hAnsi="仿宋_GB2312" w:eastAsia="仿宋_GB2312" w:cs="仿宋_GB2312"/>
          <w:color w:val="auto"/>
          <w:kern w:val="2"/>
          <w:sz w:val="24"/>
          <w:szCs w:val="24"/>
          <w:highlight w:val="none"/>
          <w:u w:val="none"/>
        </w:rPr>
        <w:fldChar w:fldCharType="end"/>
      </w:r>
    </w:p>
    <w:p w14:paraId="672FFD71">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auto"/>
          <w:kern w:val="2"/>
          <w:sz w:val="24"/>
          <w:szCs w:val="24"/>
          <w:highlight w:val="none"/>
          <w:u w:val="none"/>
        </w:rPr>
      </w:pP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HYPERLINK \l _Toc3612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lang w:val="en-US" w:eastAsia="zh-CN"/>
        </w:rPr>
        <w:t>七</w:t>
      </w:r>
      <w:r>
        <w:rPr>
          <w:rFonts w:hint="eastAsia" w:ascii="仿宋_GB2312" w:hAnsi="仿宋_GB2312" w:eastAsia="仿宋_GB2312" w:cs="仿宋_GB2312"/>
          <w:color w:val="auto"/>
          <w:kern w:val="2"/>
          <w:sz w:val="24"/>
          <w:szCs w:val="24"/>
          <w:highlight w:val="none"/>
          <w:u w:val="none"/>
        </w:rPr>
        <w:t>、采购协议</w:t>
      </w:r>
      <w:r>
        <w:rPr>
          <w:rFonts w:hint="eastAsia" w:ascii="仿宋_GB2312" w:hAnsi="仿宋_GB2312" w:eastAsia="仿宋_GB2312" w:cs="仿宋_GB2312"/>
          <w:color w:val="auto"/>
          <w:kern w:val="2"/>
          <w:sz w:val="24"/>
          <w:szCs w:val="24"/>
          <w:highlight w:val="none"/>
          <w:u w:val="none"/>
        </w:rPr>
        <w:tab/>
      </w: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PAGEREF _Toc3612 \h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13</w:t>
      </w:r>
      <w:r>
        <w:rPr>
          <w:rFonts w:hint="eastAsia" w:ascii="仿宋_GB2312" w:hAnsi="仿宋_GB2312" w:eastAsia="仿宋_GB2312" w:cs="仿宋_GB2312"/>
          <w:color w:val="auto"/>
          <w:kern w:val="2"/>
          <w:sz w:val="24"/>
          <w:szCs w:val="24"/>
          <w:highlight w:val="none"/>
          <w:u w:val="none"/>
        </w:rPr>
        <w:fldChar w:fldCharType="end"/>
      </w:r>
      <w:r>
        <w:rPr>
          <w:rFonts w:hint="eastAsia" w:ascii="仿宋_GB2312" w:hAnsi="仿宋_GB2312" w:eastAsia="仿宋_GB2312" w:cs="仿宋_GB2312"/>
          <w:color w:val="auto"/>
          <w:kern w:val="2"/>
          <w:sz w:val="24"/>
          <w:szCs w:val="24"/>
          <w:highlight w:val="none"/>
          <w:u w:val="none"/>
        </w:rPr>
        <w:fldChar w:fldCharType="end"/>
      </w:r>
    </w:p>
    <w:p w14:paraId="47B3D850">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auto"/>
          <w:kern w:val="2"/>
          <w:sz w:val="24"/>
          <w:szCs w:val="24"/>
          <w:highlight w:val="none"/>
          <w:u w:val="none"/>
        </w:rPr>
      </w:pP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HYPERLINK \l _Toc21362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lang w:val="en-US" w:eastAsia="zh-CN"/>
        </w:rPr>
        <w:t>八、违约、处置及其他事项</w:t>
      </w:r>
      <w:r>
        <w:rPr>
          <w:rFonts w:hint="eastAsia" w:ascii="仿宋_GB2312" w:hAnsi="仿宋_GB2312" w:eastAsia="仿宋_GB2312" w:cs="仿宋_GB2312"/>
          <w:color w:val="auto"/>
          <w:kern w:val="2"/>
          <w:sz w:val="24"/>
          <w:szCs w:val="24"/>
          <w:highlight w:val="none"/>
          <w:u w:val="none"/>
        </w:rPr>
        <w:tab/>
      </w: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PAGEREF _Toc21362 \h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14</w:t>
      </w:r>
      <w:r>
        <w:rPr>
          <w:rFonts w:hint="eastAsia" w:ascii="仿宋_GB2312" w:hAnsi="仿宋_GB2312" w:eastAsia="仿宋_GB2312" w:cs="仿宋_GB2312"/>
          <w:color w:val="auto"/>
          <w:kern w:val="2"/>
          <w:sz w:val="24"/>
          <w:szCs w:val="24"/>
          <w:highlight w:val="none"/>
          <w:u w:val="none"/>
        </w:rPr>
        <w:fldChar w:fldCharType="end"/>
      </w:r>
      <w:r>
        <w:rPr>
          <w:rFonts w:hint="eastAsia" w:ascii="仿宋_GB2312" w:hAnsi="仿宋_GB2312" w:eastAsia="仿宋_GB2312" w:cs="仿宋_GB2312"/>
          <w:color w:val="auto"/>
          <w:kern w:val="2"/>
          <w:sz w:val="24"/>
          <w:szCs w:val="24"/>
          <w:highlight w:val="none"/>
          <w:u w:val="none"/>
        </w:rPr>
        <w:fldChar w:fldCharType="end"/>
      </w:r>
    </w:p>
    <w:p w14:paraId="7EFA1E38">
      <w:pPr>
        <w:pStyle w:val="10"/>
        <w:keepNext w:val="0"/>
        <w:keepLines w:val="0"/>
        <w:pageBreakBefore w:val="0"/>
        <w:tabs>
          <w:tab w:val="right" w:leader="dot" w:pos="8844"/>
        </w:tabs>
        <w:kinsoku/>
        <w:wordWrap/>
        <w:overflowPunct/>
        <w:topLinePunct w:val="0"/>
        <w:autoSpaceDE/>
        <w:autoSpaceDN/>
        <w:bidi w:val="0"/>
        <w:adjustRightInd/>
        <w:snapToGrid/>
        <w:spacing w:line="340" w:lineRule="exact"/>
        <w:ind w:left="0"/>
        <w:jc w:val="both"/>
        <w:textAlignment w:val="auto"/>
        <w:rPr>
          <w:rFonts w:hint="eastAsia" w:ascii="仿宋_GB2312" w:hAnsi="仿宋_GB2312" w:eastAsia="仿宋_GB2312" w:cs="仿宋_GB2312"/>
          <w:b/>
          <w:bCs/>
          <w:color w:val="auto"/>
          <w:kern w:val="2"/>
          <w:sz w:val="24"/>
          <w:szCs w:val="24"/>
          <w:highlight w:val="none"/>
          <w:u w:val="none"/>
        </w:rPr>
      </w:pPr>
      <w:r>
        <w:rPr>
          <w:rFonts w:hint="eastAsia" w:ascii="仿宋_GB2312" w:hAnsi="仿宋_GB2312" w:eastAsia="仿宋_GB2312" w:cs="仿宋_GB2312"/>
          <w:b/>
          <w:bCs/>
          <w:color w:val="auto"/>
          <w:kern w:val="2"/>
          <w:sz w:val="24"/>
          <w:szCs w:val="24"/>
          <w:highlight w:val="none"/>
          <w:u w:val="none"/>
        </w:rPr>
        <w:fldChar w:fldCharType="begin"/>
      </w:r>
      <w:r>
        <w:rPr>
          <w:rFonts w:hint="eastAsia" w:ascii="仿宋_GB2312" w:hAnsi="仿宋_GB2312" w:eastAsia="仿宋_GB2312" w:cs="仿宋_GB2312"/>
          <w:b/>
          <w:bCs/>
          <w:color w:val="auto"/>
          <w:kern w:val="2"/>
          <w:sz w:val="24"/>
          <w:szCs w:val="24"/>
          <w:highlight w:val="none"/>
          <w:u w:val="none"/>
        </w:rPr>
        <w:instrText xml:space="preserve"> HYPERLINK \l _Toc31140 </w:instrText>
      </w:r>
      <w:r>
        <w:rPr>
          <w:rFonts w:hint="eastAsia" w:ascii="仿宋_GB2312" w:hAnsi="仿宋_GB2312" w:eastAsia="仿宋_GB2312" w:cs="仿宋_GB2312"/>
          <w:b/>
          <w:bCs/>
          <w:color w:val="auto"/>
          <w:kern w:val="2"/>
          <w:sz w:val="24"/>
          <w:szCs w:val="24"/>
          <w:highlight w:val="none"/>
          <w:u w:val="none"/>
        </w:rPr>
        <w:fldChar w:fldCharType="separate"/>
      </w:r>
      <w:r>
        <w:rPr>
          <w:rFonts w:hint="eastAsia" w:ascii="仿宋_GB2312" w:hAnsi="仿宋_GB2312" w:eastAsia="仿宋_GB2312" w:cs="仿宋_GB2312"/>
          <w:b/>
          <w:bCs/>
          <w:color w:val="auto"/>
          <w:kern w:val="2"/>
          <w:sz w:val="24"/>
          <w:szCs w:val="24"/>
          <w:highlight w:val="none"/>
          <w:u w:val="none"/>
        </w:rPr>
        <w:t>第三部分 附件</w:t>
      </w:r>
      <w:r>
        <w:rPr>
          <w:rFonts w:hint="eastAsia" w:ascii="仿宋_GB2312" w:hAnsi="仿宋_GB2312" w:eastAsia="仿宋_GB2312" w:cs="仿宋_GB2312"/>
          <w:b/>
          <w:bCs/>
          <w:color w:val="auto"/>
          <w:kern w:val="2"/>
          <w:sz w:val="24"/>
          <w:szCs w:val="24"/>
          <w:highlight w:val="none"/>
          <w:u w:val="none"/>
        </w:rPr>
        <w:tab/>
      </w:r>
      <w:r>
        <w:rPr>
          <w:rFonts w:hint="eastAsia" w:ascii="仿宋_GB2312" w:hAnsi="仿宋_GB2312" w:eastAsia="仿宋_GB2312" w:cs="仿宋_GB2312"/>
          <w:b/>
          <w:bCs/>
          <w:color w:val="auto"/>
          <w:kern w:val="2"/>
          <w:sz w:val="24"/>
          <w:szCs w:val="24"/>
          <w:highlight w:val="none"/>
          <w:u w:val="none"/>
        </w:rPr>
        <w:fldChar w:fldCharType="begin"/>
      </w:r>
      <w:r>
        <w:rPr>
          <w:rFonts w:hint="eastAsia" w:ascii="仿宋_GB2312" w:hAnsi="仿宋_GB2312" w:eastAsia="仿宋_GB2312" w:cs="仿宋_GB2312"/>
          <w:b/>
          <w:bCs/>
          <w:color w:val="auto"/>
          <w:kern w:val="2"/>
          <w:sz w:val="24"/>
          <w:szCs w:val="24"/>
          <w:highlight w:val="none"/>
          <w:u w:val="none"/>
        </w:rPr>
        <w:instrText xml:space="preserve"> PAGEREF _Toc31140 \h </w:instrText>
      </w:r>
      <w:r>
        <w:rPr>
          <w:rFonts w:hint="eastAsia" w:ascii="仿宋_GB2312" w:hAnsi="仿宋_GB2312" w:eastAsia="仿宋_GB2312" w:cs="仿宋_GB2312"/>
          <w:b/>
          <w:bCs/>
          <w:color w:val="auto"/>
          <w:kern w:val="2"/>
          <w:sz w:val="24"/>
          <w:szCs w:val="24"/>
          <w:highlight w:val="none"/>
          <w:u w:val="none"/>
        </w:rPr>
        <w:fldChar w:fldCharType="separate"/>
      </w:r>
      <w:r>
        <w:rPr>
          <w:rFonts w:hint="eastAsia" w:ascii="仿宋_GB2312" w:hAnsi="仿宋_GB2312" w:eastAsia="仿宋_GB2312" w:cs="仿宋_GB2312"/>
          <w:b/>
          <w:bCs/>
          <w:color w:val="auto"/>
          <w:kern w:val="2"/>
          <w:sz w:val="24"/>
          <w:szCs w:val="24"/>
          <w:highlight w:val="none"/>
          <w:u w:val="none"/>
        </w:rPr>
        <w:t>18</w:t>
      </w:r>
      <w:r>
        <w:rPr>
          <w:rFonts w:hint="eastAsia" w:ascii="仿宋_GB2312" w:hAnsi="仿宋_GB2312" w:eastAsia="仿宋_GB2312" w:cs="仿宋_GB2312"/>
          <w:b/>
          <w:bCs/>
          <w:color w:val="auto"/>
          <w:kern w:val="2"/>
          <w:sz w:val="24"/>
          <w:szCs w:val="24"/>
          <w:highlight w:val="none"/>
          <w:u w:val="none"/>
        </w:rPr>
        <w:fldChar w:fldCharType="end"/>
      </w:r>
      <w:r>
        <w:rPr>
          <w:rFonts w:hint="eastAsia" w:ascii="仿宋_GB2312" w:hAnsi="仿宋_GB2312" w:eastAsia="仿宋_GB2312" w:cs="仿宋_GB2312"/>
          <w:b/>
          <w:bCs/>
          <w:color w:val="auto"/>
          <w:kern w:val="2"/>
          <w:sz w:val="24"/>
          <w:szCs w:val="24"/>
          <w:highlight w:val="none"/>
          <w:u w:val="none"/>
        </w:rPr>
        <w:fldChar w:fldCharType="end"/>
      </w:r>
    </w:p>
    <w:p w14:paraId="67465FA5">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auto"/>
          <w:kern w:val="2"/>
          <w:sz w:val="24"/>
          <w:szCs w:val="24"/>
          <w:highlight w:val="none"/>
          <w:u w:val="none"/>
        </w:rPr>
      </w:pP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HYPERLINK \l _Toc24635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附件1</w:t>
      </w:r>
      <w:r>
        <w:rPr>
          <w:rFonts w:hint="eastAsia" w:ascii="仿宋_GB2312" w:hAnsi="仿宋_GB2312" w:eastAsia="仿宋_GB2312" w:cs="仿宋_GB2312"/>
          <w:color w:val="auto"/>
          <w:kern w:val="2"/>
          <w:sz w:val="24"/>
          <w:szCs w:val="24"/>
          <w:highlight w:val="none"/>
          <w:u w:val="none"/>
        </w:rPr>
        <w:tab/>
      </w: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PAGEREF _Toc24635 \h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19</w:t>
      </w:r>
      <w:r>
        <w:rPr>
          <w:rFonts w:hint="eastAsia" w:ascii="仿宋_GB2312" w:hAnsi="仿宋_GB2312" w:eastAsia="仿宋_GB2312" w:cs="仿宋_GB2312"/>
          <w:color w:val="auto"/>
          <w:kern w:val="2"/>
          <w:sz w:val="24"/>
          <w:szCs w:val="24"/>
          <w:highlight w:val="none"/>
          <w:u w:val="none"/>
        </w:rPr>
        <w:fldChar w:fldCharType="end"/>
      </w:r>
      <w:r>
        <w:rPr>
          <w:rFonts w:hint="eastAsia" w:ascii="仿宋_GB2312" w:hAnsi="仿宋_GB2312" w:eastAsia="仿宋_GB2312" w:cs="仿宋_GB2312"/>
          <w:color w:val="auto"/>
          <w:kern w:val="2"/>
          <w:sz w:val="24"/>
          <w:szCs w:val="24"/>
          <w:highlight w:val="none"/>
          <w:u w:val="none"/>
        </w:rPr>
        <w:fldChar w:fldCharType="end"/>
      </w:r>
    </w:p>
    <w:p w14:paraId="43448059">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auto"/>
          <w:kern w:val="2"/>
          <w:sz w:val="24"/>
          <w:szCs w:val="24"/>
          <w:highlight w:val="none"/>
          <w:u w:val="none"/>
        </w:rPr>
      </w:pP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HYPERLINK \l _Toc25984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附件</w:t>
      </w:r>
      <w:r>
        <w:rPr>
          <w:rFonts w:hint="eastAsia" w:ascii="仿宋_GB2312" w:hAnsi="仿宋_GB2312" w:eastAsia="仿宋_GB2312" w:cs="仿宋_GB2312"/>
          <w:color w:val="auto"/>
          <w:kern w:val="2"/>
          <w:sz w:val="24"/>
          <w:szCs w:val="24"/>
          <w:highlight w:val="none"/>
          <w:u w:val="none"/>
          <w:lang w:val="en-US" w:eastAsia="zh-CN"/>
        </w:rPr>
        <w:t>2</w:t>
      </w:r>
      <w:r>
        <w:rPr>
          <w:rFonts w:hint="eastAsia" w:ascii="仿宋_GB2312" w:hAnsi="仿宋_GB2312" w:eastAsia="仿宋_GB2312" w:cs="仿宋_GB2312"/>
          <w:color w:val="auto"/>
          <w:kern w:val="2"/>
          <w:sz w:val="24"/>
          <w:szCs w:val="24"/>
          <w:highlight w:val="none"/>
          <w:u w:val="none"/>
        </w:rPr>
        <w:tab/>
      </w: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PAGEREF _Toc25984 \h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20</w:t>
      </w:r>
      <w:r>
        <w:rPr>
          <w:rFonts w:hint="eastAsia" w:ascii="仿宋_GB2312" w:hAnsi="仿宋_GB2312" w:eastAsia="仿宋_GB2312" w:cs="仿宋_GB2312"/>
          <w:color w:val="auto"/>
          <w:kern w:val="2"/>
          <w:sz w:val="24"/>
          <w:szCs w:val="24"/>
          <w:highlight w:val="none"/>
          <w:u w:val="none"/>
        </w:rPr>
        <w:fldChar w:fldCharType="end"/>
      </w:r>
      <w:r>
        <w:rPr>
          <w:rFonts w:hint="eastAsia" w:ascii="仿宋_GB2312" w:hAnsi="仿宋_GB2312" w:eastAsia="仿宋_GB2312" w:cs="仿宋_GB2312"/>
          <w:color w:val="auto"/>
          <w:kern w:val="2"/>
          <w:sz w:val="24"/>
          <w:szCs w:val="24"/>
          <w:highlight w:val="none"/>
          <w:u w:val="none"/>
        </w:rPr>
        <w:fldChar w:fldCharType="end"/>
      </w:r>
    </w:p>
    <w:p w14:paraId="39F60D52">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auto"/>
          <w:kern w:val="2"/>
          <w:sz w:val="24"/>
          <w:szCs w:val="24"/>
          <w:highlight w:val="none"/>
          <w:u w:val="none"/>
        </w:rPr>
      </w:pP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HYPERLINK \l _Toc7960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附件</w:t>
      </w:r>
      <w:r>
        <w:rPr>
          <w:rFonts w:hint="eastAsia" w:ascii="仿宋_GB2312" w:hAnsi="仿宋_GB2312" w:eastAsia="仿宋_GB2312" w:cs="仿宋_GB2312"/>
          <w:color w:val="auto"/>
          <w:kern w:val="2"/>
          <w:sz w:val="24"/>
          <w:szCs w:val="24"/>
          <w:highlight w:val="none"/>
          <w:u w:val="none"/>
          <w:lang w:val="en-US" w:eastAsia="zh-CN"/>
        </w:rPr>
        <w:t>3</w:t>
      </w:r>
      <w:r>
        <w:rPr>
          <w:rFonts w:hint="eastAsia" w:ascii="仿宋_GB2312" w:hAnsi="仿宋_GB2312" w:eastAsia="仿宋_GB2312" w:cs="仿宋_GB2312"/>
          <w:color w:val="auto"/>
          <w:kern w:val="2"/>
          <w:sz w:val="24"/>
          <w:szCs w:val="24"/>
          <w:highlight w:val="none"/>
          <w:u w:val="none"/>
        </w:rPr>
        <w:tab/>
      </w: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PAGEREF _Toc7960 \h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34</w:t>
      </w:r>
      <w:r>
        <w:rPr>
          <w:rFonts w:hint="eastAsia" w:ascii="仿宋_GB2312" w:hAnsi="仿宋_GB2312" w:eastAsia="仿宋_GB2312" w:cs="仿宋_GB2312"/>
          <w:color w:val="auto"/>
          <w:kern w:val="2"/>
          <w:sz w:val="24"/>
          <w:szCs w:val="24"/>
          <w:highlight w:val="none"/>
          <w:u w:val="none"/>
        </w:rPr>
        <w:fldChar w:fldCharType="end"/>
      </w:r>
      <w:r>
        <w:rPr>
          <w:rFonts w:hint="eastAsia" w:ascii="仿宋_GB2312" w:hAnsi="仿宋_GB2312" w:eastAsia="仿宋_GB2312" w:cs="仿宋_GB2312"/>
          <w:color w:val="auto"/>
          <w:kern w:val="2"/>
          <w:sz w:val="24"/>
          <w:szCs w:val="24"/>
          <w:highlight w:val="none"/>
          <w:u w:val="none"/>
        </w:rPr>
        <w:fldChar w:fldCharType="end"/>
      </w:r>
    </w:p>
    <w:p w14:paraId="54817925">
      <w:pPr>
        <w:pStyle w:val="11"/>
        <w:keepNext w:val="0"/>
        <w:keepLines w:val="0"/>
        <w:pageBreakBefore w:val="0"/>
        <w:widowControl/>
        <w:tabs>
          <w:tab w:val="right" w:leader="dot" w:pos="8844"/>
        </w:tabs>
        <w:kinsoku/>
        <w:wordWrap/>
        <w:overflowPunct/>
        <w:topLinePunct w:val="0"/>
        <w:autoSpaceDE/>
        <w:autoSpaceDN/>
        <w:bidi w:val="0"/>
        <w:adjustRightInd/>
        <w:snapToGrid/>
        <w:spacing w:after="100" w:line="340" w:lineRule="exact"/>
        <w:ind w:left="220" w:leftChars="0"/>
        <w:jc w:val="both"/>
        <w:textAlignment w:val="auto"/>
        <w:rPr>
          <w:rFonts w:hint="eastAsia" w:ascii="仿宋_GB2312" w:hAnsi="仿宋_GB2312" w:eastAsia="仿宋_GB2312" w:cs="仿宋_GB2312"/>
          <w:color w:val="auto"/>
          <w:kern w:val="2"/>
          <w:sz w:val="24"/>
          <w:szCs w:val="24"/>
          <w:highlight w:val="none"/>
          <w:u w:val="none"/>
        </w:rPr>
      </w:pP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HYPERLINK \l _Toc5213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附件</w:t>
      </w:r>
      <w:r>
        <w:rPr>
          <w:rFonts w:hint="eastAsia" w:ascii="仿宋_GB2312" w:hAnsi="仿宋_GB2312" w:eastAsia="仿宋_GB2312" w:cs="仿宋_GB2312"/>
          <w:color w:val="auto"/>
          <w:kern w:val="2"/>
          <w:sz w:val="24"/>
          <w:szCs w:val="24"/>
          <w:highlight w:val="none"/>
          <w:u w:val="none"/>
          <w:lang w:val="en-US" w:eastAsia="zh-CN"/>
        </w:rPr>
        <w:t>4</w:t>
      </w:r>
      <w:r>
        <w:rPr>
          <w:rFonts w:hint="eastAsia" w:ascii="仿宋_GB2312" w:hAnsi="仿宋_GB2312" w:eastAsia="仿宋_GB2312" w:cs="仿宋_GB2312"/>
          <w:color w:val="auto"/>
          <w:kern w:val="2"/>
          <w:sz w:val="24"/>
          <w:szCs w:val="24"/>
          <w:highlight w:val="none"/>
          <w:u w:val="none"/>
        </w:rPr>
        <w:tab/>
      </w:r>
      <w:r>
        <w:rPr>
          <w:rFonts w:hint="eastAsia" w:ascii="仿宋_GB2312" w:hAnsi="仿宋_GB2312" w:eastAsia="仿宋_GB2312" w:cs="仿宋_GB2312"/>
          <w:color w:val="auto"/>
          <w:kern w:val="2"/>
          <w:sz w:val="24"/>
          <w:szCs w:val="24"/>
          <w:highlight w:val="none"/>
          <w:u w:val="none"/>
        </w:rPr>
        <w:fldChar w:fldCharType="begin"/>
      </w:r>
      <w:r>
        <w:rPr>
          <w:rFonts w:hint="eastAsia" w:ascii="仿宋_GB2312" w:hAnsi="仿宋_GB2312" w:eastAsia="仿宋_GB2312" w:cs="仿宋_GB2312"/>
          <w:color w:val="auto"/>
          <w:kern w:val="2"/>
          <w:sz w:val="24"/>
          <w:szCs w:val="24"/>
          <w:highlight w:val="none"/>
          <w:u w:val="none"/>
        </w:rPr>
        <w:instrText xml:space="preserve"> PAGEREF _Toc5213 \h </w:instrText>
      </w:r>
      <w:r>
        <w:rPr>
          <w:rFonts w:hint="eastAsia" w:ascii="仿宋_GB2312" w:hAnsi="仿宋_GB2312" w:eastAsia="仿宋_GB2312" w:cs="仿宋_GB2312"/>
          <w:color w:val="auto"/>
          <w:kern w:val="2"/>
          <w:sz w:val="24"/>
          <w:szCs w:val="24"/>
          <w:highlight w:val="none"/>
          <w:u w:val="none"/>
        </w:rPr>
        <w:fldChar w:fldCharType="separate"/>
      </w:r>
      <w:r>
        <w:rPr>
          <w:rFonts w:hint="eastAsia" w:ascii="仿宋_GB2312" w:hAnsi="仿宋_GB2312" w:eastAsia="仿宋_GB2312" w:cs="仿宋_GB2312"/>
          <w:color w:val="auto"/>
          <w:kern w:val="2"/>
          <w:sz w:val="24"/>
          <w:szCs w:val="24"/>
          <w:highlight w:val="none"/>
          <w:u w:val="none"/>
        </w:rPr>
        <w:t>35</w:t>
      </w:r>
      <w:r>
        <w:rPr>
          <w:rFonts w:hint="eastAsia" w:ascii="仿宋_GB2312" w:hAnsi="仿宋_GB2312" w:eastAsia="仿宋_GB2312" w:cs="仿宋_GB2312"/>
          <w:color w:val="auto"/>
          <w:kern w:val="2"/>
          <w:sz w:val="24"/>
          <w:szCs w:val="24"/>
          <w:highlight w:val="none"/>
          <w:u w:val="none"/>
        </w:rPr>
        <w:fldChar w:fldCharType="end"/>
      </w:r>
      <w:r>
        <w:rPr>
          <w:rFonts w:hint="eastAsia" w:ascii="仿宋_GB2312" w:hAnsi="仿宋_GB2312" w:eastAsia="仿宋_GB2312" w:cs="仿宋_GB2312"/>
          <w:color w:val="auto"/>
          <w:kern w:val="2"/>
          <w:sz w:val="24"/>
          <w:szCs w:val="24"/>
          <w:highlight w:val="none"/>
          <w:u w:val="none"/>
        </w:rPr>
        <w:fldChar w:fldCharType="end"/>
      </w:r>
    </w:p>
    <w:p w14:paraId="4CCC56D2">
      <w:pPr>
        <w:pStyle w:val="10"/>
        <w:keepNext w:val="0"/>
        <w:keepLines w:val="0"/>
        <w:pageBreakBefore w:val="0"/>
        <w:tabs>
          <w:tab w:val="right" w:leader="dot" w:pos="8844"/>
        </w:tabs>
        <w:kinsoku/>
        <w:wordWrap/>
        <w:overflowPunct/>
        <w:topLinePunct w:val="0"/>
        <w:autoSpaceDE/>
        <w:autoSpaceDN/>
        <w:bidi w:val="0"/>
        <w:adjustRightInd/>
        <w:snapToGrid/>
        <w:spacing w:line="340" w:lineRule="exact"/>
        <w:ind w:left="0"/>
        <w:jc w:val="both"/>
        <w:textAlignment w:val="auto"/>
        <w:rPr>
          <w:color w:val="auto"/>
          <w:highlight w:val="none"/>
          <w:u w:val="none"/>
        </w:rPr>
      </w:pPr>
      <w:r>
        <w:rPr>
          <w:rFonts w:hint="eastAsia" w:ascii="仿宋_GB2312" w:hAnsi="仿宋_GB2312" w:eastAsia="仿宋_GB2312" w:cs="仿宋_GB2312"/>
          <w:b/>
          <w:bCs/>
          <w:color w:val="auto"/>
          <w:kern w:val="2"/>
          <w:sz w:val="24"/>
          <w:szCs w:val="24"/>
          <w:highlight w:val="none"/>
          <w:u w:val="none"/>
        </w:rPr>
        <w:fldChar w:fldCharType="end"/>
      </w:r>
    </w:p>
    <w:p w14:paraId="6053CBC7">
      <w:pPr>
        <w:pageBreakBefore w:val="0"/>
        <w:kinsoku/>
        <w:topLinePunct w:val="0"/>
        <w:bidi w:val="0"/>
        <w:spacing w:line="580" w:lineRule="exact"/>
        <w:jc w:val="center"/>
        <w:rPr>
          <w:rFonts w:ascii="黑体" w:hAnsi="黑体" w:eastAsia="黑体"/>
          <w:color w:val="auto"/>
          <w:kern w:val="2"/>
          <w:sz w:val="30"/>
          <w:szCs w:val="30"/>
          <w:highlight w:val="none"/>
          <w:u w:val="none"/>
        </w:rPr>
        <w:sectPr>
          <w:headerReference r:id="rId7" w:type="first"/>
          <w:footerReference r:id="rId10" w:type="first"/>
          <w:headerReference r:id="rId5" w:type="default"/>
          <w:footerReference r:id="rId8" w:type="default"/>
          <w:headerReference r:id="rId6" w:type="even"/>
          <w:footerReference r:id="rId9" w:type="even"/>
          <w:pgSz w:w="11906" w:h="16838"/>
          <w:pgMar w:top="1871" w:right="1531" w:bottom="1871" w:left="1531" w:header="850" w:footer="992" w:gutter="0"/>
          <w:pgNumType w:start="1"/>
          <w:cols w:space="720" w:num="1"/>
          <w:docGrid w:type="lines" w:linePitch="408" w:charSpace="0"/>
        </w:sectPr>
      </w:pPr>
      <w:bookmarkStart w:id="3" w:name="_Toc30474"/>
    </w:p>
    <w:bookmarkEnd w:id="3"/>
    <w:p w14:paraId="619938F3">
      <w:pPr>
        <w:keepNext w:val="0"/>
        <w:keepLines w:val="0"/>
        <w:pageBreakBefore w:val="0"/>
        <w:widowControl/>
        <w:kinsoku/>
        <w:topLinePunct w:val="0"/>
        <w:bidi w:val="0"/>
        <w:adjustRightInd w:val="0"/>
        <w:snapToGrid w:val="0"/>
        <w:spacing w:after="204" w:afterLines="50" w:line="580" w:lineRule="exact"/>
        <w:ind w:left="0"/>
        <w:jc w:val="center"/>
        <w:outlineLvl w:val="9"/>
        <w:rPr>
          <w:rFonts w:hint="eastAsia" w:ascii="方正小标宋简体" w:hAnsi="方正小标宋简体" w:eastAsia="方正小标宋简体" w:cs="方正小标宋简体"/>
          <w:b w:val="0"/>
          <w:bCs w:val="0"/>
          <w:color w:val="auto"/>
          <w:kern w:val="2"/>
          <w:sz w:val="44"/>
          <w:szCs w:val="44"/>
          <w:highlight w:val="none"/>
          <w:u w:val="none"/>
          <w:lang w:val="en-US" w:eastAsia="zh-CN" w:bidi="ar-SA"/>
        </w:rPr>
      </w:pPr>
    </w:p>
    <w:p w14:paraId="1B1300D3">
      <w:pPr>
        <w:keepNext w:val="0"/>
        <w:keepLines w:val="0"/>
        <w:pageBreakBefore w:val="0"/>
        <w:widowControl/>
        <w:kinsoku/>
        <w:topLinePunct w:val="0"/>
        <w:bidi w:val="0"/>
        <w:adjustRightInd w:val="0"/>
        <w:snapToGrid w:val="0"/>
        <w:spacing w:after="204" w:afterLines="50" w:line="580" w:lineRule="exact"/>
        <w:ind w:left="0"/>
        <w:jc w:val="center"/>
        <w:outlineLvl w:val="9"/>
        <w:rPr>
          <w:rFonts w:hint="eastAsia" w:ascii="方正小标宋简体" w:hAnsi="方正小标宋简体" w:eastAsia="方正小标宋简体" w:cs="方正小标宋简体"/>
          <w:b w:val="0"/>
          <w:bCs w:val="0"/>
          <w:color w:val="auto"/>
          <w:kern w:val="2"/>
          <w:sz w:val="44"/>
          <w:szCs w:val="44"/>
          <w:highlight w:val="none"/>
          <w:u w:val="none"/>
          <w:lang w:val="en-US" w:eastAsia="zh-CN" w:bidi="ar-SA"/>
        </w:rPr>
      </w:pPr>
    </w:p>
    <w:p w14:paraId="0EDFED65">
      <w:pPr>
        <w:keepNext w:val="0"/>
        <w:keepLines w:val="0"/>
        <w:pageBreakBefore w:val="0"/>
        <w:widowControl/>
        <w:kinsoku/>
        <w:topLinePunct w:val="0"/>
        <w:bidi w:val="0"/>
        <w:adjustRightInd w:val="0"/>
        <w:snapToGrid w:val="0"/>
        <w:spacing w:after="204" w:afterLines="50" w:line="580" w:lineRule="exact"/>
        <w:ind w:left="0"/>
        <w:jc w:val="center"/>
        <w:outlineLvl w:val="9"/>
        <w:rPr>
          <w:rFonts w:hint="eastAsia" w:ascii="方正小标宋简体" w:hAnsi="方正小标宋简体" w:eastAsia="方正小标宋简体" w:cs="方正小标宋简体"/>
          <w:b w:val="0"/>
          <w:bCs w:val="0"/>
          <w:color w:val="auto"/>
          <w:kern w:val="2"/>
          <w:sz w:val="44"/>
          <w:szCs w:val="44"/>
          <w:highlight w:val="none"/>
          <w:u w:val="none"/>
          <w:lang w:val="en-US" w:eastAsia="zh-CN" w:bidi="ar-SA"/>
        </w:rPr>
      </w:pPr>
    </w:p>
    <w:p w14:paraId="3C1C7C98">
      <w:pPr>
        <w:keepNext w:val="0"/>
        <w:keepLines w:val="0"/>
        <w:pageBreakBefore w:val="0"/>
        <w:widowControl/>
        <w:kinsoku/>
        <w:topLinePunct w:val="0"/>
        <w:bidi w:val="0"/>
        <w:adjustRightInd w:val="0"/>
        <w:snapToGrid w:val="0"/>
        <w:spacing w:after="204" w:afterLines="50" w:line="580" w:lineRule="exact"/>
        <w:ind w:left="0"/>
        <w:jc w:val="center"/>
        <w:outlineLvl w:val="9"/>
        <w:rPr>
          <w:rFonts w:hint="eastAsia" w:ascii="方正小标宋简体" w:hAnsi="方正小标宋简体" w:eastAsia="方正小标宋简体" w:cs="方正小标宋简体"/>
          <w:b w:val="0"/>
          <w:bCs w:val="0"/>
          <w:color w:val="auto"/>
          <w:kern w:val="2"/>
          <w:sz w:val="44"/>
          <w:szCs w:val="44"/>
          <w:highlight w:val="none"/>
          <w:u w:val="none"/>
          <w:lang w:val="en-US" w:eastAsia="zh-CN" w:bidi="ar-SA"/>
        </w:rPr>
      </w:pPr>
    </w:p>
    <w:p w14:paraId="395A74D7">
      <w:pPr>
        <w:keepNext w:val="0"/>
        <w:keepLines w:val="0"/>
        <w:pageBreakBefore w:val="0"/>
        <w:widowControl/>
        <w:kinsoku/>
        <w:topLinePunct w:val="0"/>
        <w:bidi w:val="0"/>
        <w:adjustRightInd w:val="0"/>
        <w:snapToGrid w:val="0"/>
        <w:spacing w:after="204" w:afterLines="50" w:line="580" w:lineRule="exact"/>
        <w:ind w:left="0"/>
        <w:jc w:val="center"/>
        <w:outlineLvl w:val="9"/>
        <w:rPr>
          <w:rFonts w:hint="eastAsia" w:ascii="方正小标宋简体" w:hAnsi="方正小标宋简体" w:eastAsia="方正小标宋简体" w:cs="方正小标宋简体"/>
          <w:b w:val="0"/>
          <w:bCs w:val="0"/>
          <w:color w:val="auto"/>
          <w:kern w:val="2"/>
          <w:sz w:val="44"/>
          <w:szCs w:val="44"/>
          <w:highlight w:val="none"/>
          <w:u w:val="none"/>
          <w:lang w:val="en-US" w:eastAsia="zh-CN" w:bidi="ar-SA"/>
        </w:rPr>
      </w:pPr>
    </w:p>
    <w:p w14:paraId="1DA78FE4">
      <w:pPr>
        <w:keepNext w:val="0"/>
        <w:keepLines w:val="0"/>
        <w:pageBreakBefore w:val="0"/>
        <w:widowControl/>
        <w:kinsoku/>
        <w:topLinePunct w:val="0"/>
        <w:bidi w:val="0"/>
        <w:adjustRightInd w:val="0"/>
        <w:snapToGrid w:val="0"/>
        <w:spacing w:after="204" w:afterLines="50" w:line="580" w:lineRule="exact"/>
        <w:ind w:left="0"/>
        <w:jc w:val="center"/>
        <w:outlineLvl w:val="9"/>
        <w:rPr>
          <w:rFonts w:hint="eastAsia" w:ascii="方正小标宋简体" w:hAnsi="方正小标宋简体" w:eastAsia="方正小标宋简体" w:cs="方正小标宋简体"/>
          <w:b w:val="0"/>
          <w:bCs w:val="0"/>
          <w:color w:val="auto"/>
          <w:kern w:val="2"/>
          <w:sz w:val="44"/>
          <w:szCs w:val="44"/>
          <w:highlight w:val="none"/>
          <w:u w:val="none"/>
          <w:lang w:val="en-US" w:eastAsia="zh-CN" w:bidi="ar-SA"/>
        </w:rPr>
      </w:pPr>
    </w:p>
    <w:p w14:paraId="5E491F41">
      <w:pPr>
        <w:keepNext w:val="0"/>
        <w:keepLines w:val="0"/>
        <w:pageBreakBefore w:val="0"/>
        <w:widowControl/>
        <w:kinsoku/>
        <w:topLinePunct w:val="0"/>
        <w:bidi w:val="0"/>
        <w:adjustRightInd w:val="0"/>
        <w:snapToGrid w:val="0"/>
        <w:spacing w:after="204" w:afterLines="50" w:line="580" w:lineRule="exact"/>
        <w:ind w:left="0"/>
        <w:jc w:val="center"/>
        <w:outlineLvl w:val="9"/>
        <w:rPr>
          <w:rFonts w:hint="eastAsia" w:ascii="方正小标宋简体" w:hAnsi="方正小标宋简体" w:eastAsia="方正小标宋简体" w:cs="方正小标宋简体"/>
          <w:b w:val="0"/>
          <w:bCs w:val="0"/>
          <w:color w:val="auto"/>
          <w:kern w:val="2"/>
          <w:sz w:val="44"/>
          <w:szCs w:val="44"/>
          <w:highlight w:val="none"/>
          <w:u w:val="none"/>
          <w:lang w:val="en-US" w:eastAsia="zh-CN" w:bidi="ar-SA"/>
        </w:rPr>
      </w:pPr>
    </w:p>
    <w:p w14:paraId="2AAD1901">
      <w:pPr>
        <w:keepNext w:val="0"/>
        <w:keepLines w:val="0"/>
        <w:pageBreakBefore w:val="0"/>
        <w:widowControl/>
        <w:kinsoku/>
        <w:topLinePunct w:val="0"/>
        <w:bidi w:val="0"/>
        <w:adjustRightInd w:val="0"/>
        <w:snapToGrid w:val="0"/>
        <w:spacing w:after="204" w:afterLines="50" w:line="580" w:lineRule="exact"/>
        <w:ind w:left="0"/>
        <w:jc w:val="center"/>
        <w:outlineLvl w:val="9"/>
        <w:rPr>
          <w:rFonts w:hint="eastAsia" w:ascii="方正小标宋简体" w:hAnsi="方正小标宋简体" w:eastAsia="方正小标宋简体" w:cs="方正小标宋简体"/>
          <w:b w:val="0"/>
          <w:bCs w:val="0"/>
          <w:color w:val="auto"/>
          <w:kern w:val="2"/>
          <w:sz w:val="44"/>
          <w:szCs w:val="44"/>
          <w:highlight w:val="none"/>
          <w:u w:val="none"/>
          <w:lang w:val="en-US" w:eastAsia="zh-CN" w:bidi="ar-SA"/>
        </w:rPr>
      </w:pPr>
    </w:p>
    <w:p w14:paraId="7799F8CF">
      <w:pPr>
        <w:pStyle w:val="2"/>
        <w:keepNext w:val="0"/>
        <w:keepLines w:val="0"/>
        <w:pageBreakBefore w:val="0"/>
        <w:widowControl/>
        <w:kinsoku/>
        <w:topLinePunct w:val="0"/>
        <w:bidi w:val="0"/>
        <w:adjustRightInd w:val="0"/>
        <w:snapToGrid w:val="0"/>
        <w:spacing w:after="204" w:afterLines="50" w:line="580" w:lineRule="exact"/>
        <w:ind w:left="0"/>
        <w:jc w:val="center"/>
        <w:rPr>
          <w:rFonts w:hint="eastAsia" w:ascii="方正小标宋简体" w:hAnsi="方正小标宋简体" w:eastAsia="方正小标宋简体" w:cs="方正小标宋简体"/>
          <w:b w:val="0"/>
          <w:bCs w:val="0"/>
          <w:color w:val="auto"/>
          <w:kern w:val="2"/>
          <w:sz w:val="44"/>
          <w:szCs w:val="44"/>
          <w:highlight w:val="none"/>
          <w:u w:val="none"/>
          <w:lang w:val="en-US" w:eastAsia="zh-CN" w:bidi="ar-SA"/>
        </w:rPr>
      </w:pPr>
      <w:bookmarkStart w:id="4" w:name="_Toc29105"/>
      <w:bookmarkStart w:id="5" w:name="_Toc10986"/>
      <w:bookmarkStart w:id="6" w:name="_Toc10284"/>
      <w:bookmarkStart w:id="7" w:name="_Toc30447"/>
      <w:bookmarkStart w:id="8" w:name="_Toc10866"/>
      <w:bookmarkStart w:id="9" w:name="_Toc21704"/>
      <w:bookmarkStart w:id="10" w:name="_Toc11826"/>
      <w:r>
        <w:rPr>
          <w:rFonts w:hint="eastAsia" w:ascii="方正小标宋简体" w:hAnsi="方正小标宋简体" w:eastAsia="方正小标宋简体" w:cs="方正小标宋简体"/>
          <w:b w:val="0"/>
          <w:bCs w:val="0"/>
          <w:color w:val="auto"/>
          <w:kern w:val="2"/>
          <w:sz w:val="44"/>
          <w:szCs w:val="44"/>
          <w:highlight w:val="none"/>
          <w:u w:val="none"/>
          <w:lang w:val="en-US" w:eastAsia="zh-CN" w:bidi="ar-SA"/>
        </w:rPr>
        <w:t>第一部分 采购邀请</w:t>
      </w:r>
      <w:bookmarkEnd w:id="4"/>
      <w:bookmarkEnd w:id="5"/>
      <w:bookmarkEnd w:id="6"/>
      <w:bookmarkEnd w:id="7"/>
      <w:bookmarkEnd w:id="8"/>
      <w:bookmarkEnd w:id="9"/>
      <w:bookmarkEnd w:id="10"/>
    </w:p>
    <w:p w14:paraId="62961D42">
      <w:pPr>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br w:type="page"/>
      </w:r>
    </w:p>
    <w:p w14:paraId="680A3EE1">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为推进广东省医用耗材集中带量采购工作，促进形成合理价格，根据国家医疗保障局等八部门《关于开展国家组织高值医用耗材集中带量采购和使用的指导意见》（医保发〔2021〕31号）、《广东省医疗保障局关于做好药品和医用耗材采购工作的指导意见》（粤医保规〔2020〕2 号）等文件要求，深圳公共资源交易中心（以下简称深圳交易中心）开展广东省血流导向密网支架类医用耗材带量</w:t>
      </w:r>
      <w:r>
        <w:rPr>
          <w:rFonts w:hint="eastAsia" w:ascii="仿宋_GB2312" w:hAnsi="仿宋_GB2312" w:eastAsia="仿宋_GB2312" w:cs="仿宋_GB2312"/>
          <w:color w:val="auto"/>
          <w:sz w:val="32"/>
          <w:szCs w:val="32"/>
          <w:highlight w:val="none"/>
          <w:u w:val="none"/>
          <w:lang w:val="en-US" w:eastAsia="zh-CN"/>
        </w:rPr>
        <w:t>联动采购</w:t>
      </w:r>
      <w:r>
        <w:rPr>
          <w:rFonts w:hint="eastAsia" w:ascii="仿宋_GB2312" w:hAnsi="仿宋_GB2312" w:eastAsia="仿宋_GB2312" w:cs="仿宋_GB2312"/>
          <w:color w:val="auto"/>
          <w:sz w:val="32"/>
          <w:szCs w:val="32"/>
          <w:highlight w:val="none"/>
          <w:u w:val="none"/>
        </w:rPr>
        <w:t>（以下简称密网支架带量</w:t>
      </w:r>
      <w:r>
        <w:rPr>
          <w:rFonts w:hint="eastAsia" w:ascii="仿宋_GB2312" w:hAnsi="仿宋_GB2312" w:eastAsia="仿宋_GB2312" w:cs="仿宋_GB2312"/>
          <w:color w:val="auto"/>
          <w:sz w:val="32"/>
          <w:szCs w:val="32"/>
          <w:highlight w:val="none"/>
          <w:u w:val="none"/>
          <w:lang w:val="en-US" w:eastAsia="zh-CN"/>
        </w:rPr>
        <w:t>联动采购</w:t>
      </w:r>
      <w:r>
        <w:rPr>
          <w:rFonts w:hint="eastAsia" w:ascii="仿宋_GB2312" w:hAnsi="仿宋_GB2312" w:eastAsia="仿宋_GB2312" w:cs="仿宋_GB2312"/>
          <w:color w:val="auto"/>
          <w:sz w:val="32"/>
          <w:szCs w:val="32"/>
          <w:highlight w:val="none"/>
          <w:u w:val="none"/>
        </w:rPr>
        <w:t>），现邀请符合要求的企业申报参与。</w:t>
      </w:r>
    </w:p>
    <w:p w14:paraId="1D03E6AF">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outlineLvl w:val="1"/>
        <w:rPr>
          <w:rFonts w:ascii="黑体" w:hAnsi="黑体" w:eastAsia="黑体" w:cs="黑体"/>
          <w:color w:val="auto"/>
          <w:kern w:val="2"/>
          <w:sz w:val="32"/>
          <w:szCs w:val="32"/>
          <w:highlight w:val="none"/>
          <w:u w:val="none"/>
        </w:rPr>
      </w:pPr>
      <w:bookmarkStart w:id="11" w:name="_Toc15575"/>
      <w:bookmarkStart w:id="12" w:name="_Toc10545"/>
      <w:bookmarkStart w:id="13" w:name="_Toc10567"/>
      <w:bookmarkStart w:id="14" w:name="_Toc32578"/>
      <w:bookmarkStart w:id="15" w:name="_Toc21959"/>
      <w:bookmarkStart w:id="16" w:name="_Toc27431"/>
      <w:bookmarkStart w:id="17" w:name="_Toc24118"/>
      <w:bookmarkStart w:id="18" w:name="_Toc19396"/>
      <w:bookmarkStart w:id="19" w:name="_Toc15678"/>
      <w:r>
        <w:rPr>
          <w:rFonts w:hint="eastAsia" w:ascii="黑体" w:hAnsi="黑体" w:eastAsia="黑体" w:cs="黑体"/>
          <w:color w:val="auto"/>
          <w:kern w:val="2"/>
          <w:sz w:val="32"/>
          <w:szCs w:val="32"/>
          <w:highlight w:val="none"/>
          <w:u w:val="none"/>
        </w:rPr>
        <w:t>一、采购主体</w:t>
      </w:r>
      <w:bookmarkEnd w:id="11"/>
      <w:bookmarkEnd w:id="12"/>
      <w:bookmarkEnd w:id="13"/>
      <w:bookmarkEnd w:id="14"/>
      <w:bookmarkEnd w:id="15"/>
      <w:bookmarkEnd w:id="16"/>
      <w:bookmarkEnd w:id="17"/>
      <w:bookmarkEnd w:id="18"/>
      <w:bookmarkEnd w:id="19"/>
    </w:p>
    <w:p w14:paraId="002E53D6">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一</w:t>
      </w:r>
      <w:r>
        <w:rPr>
          <w:rFonts w:hint="eastAsia" w:ascii="仿宋_GB2312" w:hAnsi="仿宋_GB2312" w:eastAsia="仿宋_GB2312" w:cs="仿宋_GB2312"/>
          <w:color w:val="auto"/>
          <w:sz w:val="32"/>
          <w:szCs w:val="32"/>
          <w:highlight w:val="none"/>
          <w:u w:val="none"/>
          <w:lang w:eastAsia="zh-CN"/>
        </w:rPr>
        <w:t>）本次参与的采购主体为</w:t>
      </w:r>
      <w:r>
        <w:rPr>
          <w:rFonts w:hint="eastAsia" w:ascii="仿宋_GB2312" w:hAnsi="仿宋_GB2312" w:eastAsia="仿宋_GB2312" w:cs="仿宋_GB2312"/>
          <w:color w:val="auto"/>
          <w:sz w:val="32"/>
          <w:szCs w:val="32"/>
          <w:highlight w:val="none"/>
          <w:u w:val="none"/>
          <w:lang w:val="en-US" w:eastAsia="zh-CN"/>
        </w:rPr>
        <w:t>有</w:t>
      </w:r>
      <w:r>
        <w:rPr>
          <w:rFonts w:hint="eastAsia" w:ascii="仿宋_GB2312" w:hAnsi="仿宋_GB2312" w:eastAsia="仿宋_GB2312" w:cs="仿宋_GB2312"/>
          <w:color w:val="auto"/>
          <w:sz w:val="32"/>
          <w:szCs w:val="32"/>
          <w:highlight w:val="none"/>
          <w:u w:val="none"/>
        </w:rPr>
        <w:t>采购</w:t>
      </w:r>
      <w:r>
        <w:rPr>
          <w:rFonts w:hint="eastAsia" w:ascii="仿宋_GB2312" w:hAnsi="仿宋_GB2312" w:eastAsia="仿宋_GB2312" w:cs="仿宋_GB2312"/>
          <w:color w:val="auto"/>
          <w:sz w:val="32"/>
          <w:szCs w:val="32"/>
          <w:highlight w:val="none"/>
          <w:u w:val="none"/>
          <w:lang w:val="en-US" w:eastAsia="zh-CN"/>
        </w:rPr>
        <w:t>血流导向密网支架</w:t>
      </w:r>
      <w:r>
        <w:rPr>
          <w:rFonts w:hint="eastAsia" w:ascii="仿宋_GB2312" w:hAnsi="仿宋_GB2312" w:eastAsia="仿宋_GB2312" w:cs="仿宋_GB2312"/>
          <w:color w:val="auto"/>
          <w:sz w:val="32"/>
          <w:szCs w:val="32"/>
          <w:highlight w:val="none"/>
          <w:u w:val="none"/>
        </w:rPr>
        <w:t>需求的</w:t>
      </w:r>
      <w:r>
        <w:rPr>
          <w:rFonts w:hint="eastAsia" w:ascii="仿宋_GB2312" w:hAnsi="仿宋_GB2312" w:eastAsia="仿宋_GB2312" w:cs="仿宋_GB2312"/>
          <w:color w:val="auto"/>
          <w:sz w:val="32"/>
          <w:szCs w:val="32"/>
          <w:highlight w:val="none"/>
          <w:u w:val="none"/>
          <w:lang w:val="en-US" w:eastAsia="zh-CN"/>
        </w:rPr>
        <w:t>广东省</w:t>
      </w:r>
      <w:r>
        <w:rPr>
          <w:rFonts w:hint="eastAsia" w:ascii="仿宋_GB2312" w:hAnsi="仿宋_GB2312" w:eastAsia="仿宋_GB2312" w:cs="仿宋_GB2312"/>
          <w:color w:val="auto"/>
          <w:sz w:val="32"/>
          <w:szCs w:val="32"/>
          <w:highlight w:val="none"/>
          <w:u w:val="none"/>
        </w:rPr>
        <w:t>公立医疗机构（含军队医疗机构，下同），医保定点社会办医疗机构在承诺遵守本次</w:t>
      </w:r>
      <w:r>
        <w:rPr>
          <w:rFonts w:hint="eastAsia" w:ascii="仿宋_GB2312" w:hAnsi="仿宋_GB2312" w:eastAsia="仿宋_GB2312" w:cs="仿宋_GB2312"/>
          <w:color w:val="auto"/>
          <w:sz w:val="32"/>
          <w:szCs w:val="32"/>
          <w:highlight w:val="none"/>
          <w:u w:val="none"/>
          <w:lang w:eastAsia="zh-CN"/>
        </w:rPr>
        <w:t>密网支架带量联动采购</w:t>
      </w:r>
      <w:r>
        <w:rPr>
          <w:rFonts w:hint="eastAsia" w:ascii="仿宋_GB2312" w:hAnsi="仿宋_GB2312" w:eastAsia="仿宋_GB2312" w:cs="仿宋_GB2312"/>
          <w:color w:val="auto"/>
          <w:sz w:val="32"/>
          <w:szCs w:val="32"/>
          <w:highlight w:val="none"/>
          <w:u w:val="none"/>
        </w:rPr>
        <w:t>规定的前提下，可自愿参加。</w:t>
      </w:r>
      <w:bookmarkStart w:id="20" w:name="_Toc20660"/>
      <w:bookmarkStart w:id="21" w:name="_Toc831"/>
      <w:bookmarkStart w:id="22" w:name="_Toc2493"/>
      <w:bookmarkStart w:id="23" w:name="_Toc17737"/>
      <w:bookmarkStart w:id="24" w:name="_Toc10941"/>
    </w:p>
    <w:p w14:paraId="059B3712">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（二）参与本次</w:t>
      </w:r>
      <w:r>
        <w:rPr>
          <w:rFonts w:hint="eastAsia" w:ascii="仿宋_GB2312" w:hAnsi="仿宋_GB2312" w:eastAsia="仿宋_GB2312" w:cs="仿宋_GB2312"/>
          <w:color w:val="auto"/>
          <w:sz w:val="32"/>
          <w:szCs w:val="32"/>
          <w:highlight w:val="none"/>
          <w:u w:val="none"/>
          <w:lang w:eastAsia="zh-CN"/>
        </w:rPr>
        <w:t>密网支架带量联动采购</w:t>
      </w:r>
      <w:r>
        <w:rPr>
          <w:rFonts w:hint="eastAsia" w:ascii="仿宋_GB2312" w:hAnsi="仿宋_GB2312" w:eastAsia="仿宋_GB2312" w:cs="仿宋_GB2312"/>
          <w:color w:val="auto"/>
          <w:sz w:val="32"/>
          <w:szCs w:val="32"/>
          <w:highlight w:val="none"/>
          <w:u w:val="none"/>
        </w:rPr>
        <w:t>的医疗机构须填</w:t>
      </w:r>
      <w:r>
        <w:rPr>
          <w:rFonts w:hint="eastAsia" w:ascii="仿宋_GB2312" w:hAnsi="仿宋_GB2312" w:eastAsia="仿宋_GB2312" w:cs="仿宋_GB2312"/>
          <w:color w:val="auto"/>
          <w:sz w:val="32"/>
          <w:szCs w:val="32"/>
          <w:highlight w:val="none"/>
          <w:u w:val="none"/>
          <w:lang w:val="en-US" w:eastAsia="zh-CN"/>
        </w:rPr>
        <w:t>报</w:t>
      </w:r>
      <w:r>
        <w:rPr>
          <w:rFonts w:hint="eastAsia" w:ascii="仿宋_GB2312" w:hAnsi="仿宋_GB2312" w:eastAsia="仿宋_GB2312" w:cs="仿宋_GB2312"/>
          <w:color w:val="auto"/>
          <w:sz w:val="32"/>
          <w:szCs w:val="32"/>
          <w:highlight w:val="none"/>
          <w:u w:val="none"/>
        </w:rPr>
        <w:t>《医疗机构</w:t>
      </w:r>
      <w:r>
        <w:rPr>
          <w:rFonts w:hint="eastAsia" w:ascii="仿宋_GB2312" w:hAnsi="仿宋_GB2312" w:eastAsia="仿宋_GB2312" w:cs="仿宋_GB2312"/>
          <w:color w:val="auto"/>
          <w:sz w:val="32"/>
          <w:szCs w:val="32"/>
          <w:highlight w:val="none"/>
          <w:u w:val="none"/>
          <w:lang w:val="en-US" w:eastAsia="zh-CN"/>
        </w:rPr>
        <w:t>医用耗材</w:t>
      </w:r>
      <w:r>
        <w:rPr>
          <w:rFonts w:hint="eastAsia" w:ascii="仿宋_GB2312" w:hAnsi="仿宋_GB2312" w:eastAsia="仿宋_GB2312" w:cs="仿宋_GB2312"/>
          <w:color w:val="auto"/>
          <w:sz w:val="32"/>
          <w:szCs w:val="32"/>
          <w:highlight w:val="none"/>
          <w:u w:val="none"/>
        </w:rPr>
        <w:t>集中采购委托与填报承诺书》（附件 1）。</w:t>
      </w:r>
    </w:p>
    <w:p w14:paraId="2BA4D4CF">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outlineLvl w:val="1"/>
        <w:rPr>
          <w:rFonts w:hint="default" w:ascii="黑体" w:hAnsi="黑体" w:eastAsia="黑体" w:cs="黑体"/>
          <w:color w:val="auto"/>
          <w:kern w:val="2"/>
          <w:sz w:val="32"/>
          <w:szCs w:val="32"/>
          <w:highlight w:val="none"/>
          <w:u w:val="none"/>
          <w:lang w:val="en-US" w:eastAsia="zh-CN"/>
        </w:rPr>
      </w:pPr>
      <w:bookmarkStart w:id="25" w:name="_Toc30296"/>
      <w:bookmarkStart w:id="26" w:name="_Toc32713"/>
      <w:bookmarkStart w:id="27" w:name="_Toc4241"/>
      <w:bookmarkStart w:id="28" w:name="_Toc7092"/>
      <w:bookmarkStart w:id="29" w:name="_Toc31782"/>
      <w:bookmarkStart w:id="30" w:name="_Toc7754"/>
      <w:bookmarkStart w:id="31" w:name="_Toc14132"/>
      <w:r>
        <w:rPr>
          <w:rFonts w:hint="eastAsia" w:ascii="黑体" w:hAnsi="黑体" w:eastAsia="黑体" w:cs="黑体"/>
          <w:color w:val="auto"/>
          <w:kern w:val="2"/>
          <w:sz w:val="32"/>
          <w:szCs w:val="32"/>
          <w:highlight w:val="none"/>
          <w:u w:val="none"/>
        </w:rPr>
        <w:t>二、</w:t>
      </w:r>
      <w:bookmarkEnd w:id="20"/>
      <w:bookmarkEnd w:id="21"/>
      <w:bookmarkEnd w:id="22"/>
      <w:r>
        <w:rPr>
          <w:rFonts w:hint="eastAsia" w:ascii="黑体" w:hAnsi="黑体" w:eastAsia="黑体" w:cs="黑体"/>
          <w:color w:val="auto"/>
          <w:kern w:val="2"/>
          <w:sz w:val="32"/>
          <w:szCs w:val="32"/>
          <w:highlight w:val="none"/>
          <w:u w:val="none"/>
        </w:rPr>
        <w:t>采购品种范围</w:t>
      </w:r>
      <w:bookmarkEnd w:id="23"/>
      <w:bookmarkEnd w:id="24"/>
      <w:r>
        <w:rPr>
          <w:rFonts w:hint="eastAsia" w:ascii="黑体" w:hAnsi="黑体" w:eastAsia="黑体" w:cs="黑体"/>
          <w:color w:val="auto"/>
          <w:kern w:val="2"/>
          <w:sz w:val="32"/>
          <w:szCs w:val="32"/>
          <w:highlight w:val="none"/>
          <w:u w:val="none"/>
          <w:lang w:eastAsia="zh-CN"/>
        </w:rPr>
        <w:t>、</w:t>
      </w:r>
      <w:r>
        <w:rPr>
          <w:rFonts w:hint="eastAsia" w:ascii="黑体" w:hAnsi="黑体" w:eastAsia="黑体" w:cs="黑体"/>
          <w:color w:val="auto"/>
          <w:kern w:val="2"/>
          <w:sz w:val="32"/>
          <w:szCs w:val="32"/>
          <w:highlight w:val="none"/>
          <w:u w:val="none"/>
          <w:lang w:val="en-US" w:eastAsia="zh-CN"/>
        </w:rPr>
        <w:t>产品</w:t>
      </w:r>
      <w:r>
        <w:rPr>
          <w:rFonts w:hint="eastAsia" w:ascii="黑体" w:hAnsi="黑体" w:eastAsia="黑体" w:cs="黑体"/>
          <w:color w:val="auto"/>
          <w:kern w:val="2"/>
          <w:sz w:val="32"/>
          <w:szCs w:val="32"/>
          <w:highlight w:val="none"/>
          <w:u w:val="none"/>
        </w:rPr>
        <w:t>分类</w:t>
      </w:r>
      <w:r>
        <w:rPr>
          <w:rFonts w:hint="eastAsia" w:ascii="黑体" w:hAnsi="黑体" w:eastAsia="黑体" w:cs="黑体"/>
          <w:color w:val="auto"/>
          <w:kern w:val="2"/>
          <w:sz w:val="32"/>
          <w:szCs w:val="32"/>
          <w:highlight w:val="none"/>
          <w:u w:val="none"/>
          <w:lang w:val="en-US" w:eastAsia="zh-CN"/>
        </w:rPr>
        <w:t>和最高有效申报价</w:t>
      </w:r>
      <w:bookmarkEnd w:id="25"/>
      <w:bookmarkEnd w:id="26"/>
      <w:bookmarkEnd w:id="27"/>
      <w:bookmarkEnd w:id="28"/>
      <w:bookmarkEnd w:id="29"/>
      <w:bookmarkEnd w:id="30"/>
      <w:bookmarkEnd w:id="31"/>
    </w:p>
    <w:p w14:paraId="4A0DED65">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楷体" w:hAnsi="楷体" w:eastAsia="楷体" w:cs="楷体"/>
          <w:color w:val="auto"/>
          <w:sz w:val="32"/>
          <w:szCs w:val="32"/>
          <w:highlight w:val="none"/>
          <w:u w:val="none"/>
          <w:lang w:eastAsia="zh-CN"/>
        </w:rPr>
      </w:pPr>
      <w:bookmarkStart w:id="32" w:name="_Toc2725"/>
      <w:r>
        <w:rPr>
          <w:rFonts w:hint="eastAsia" w:ascii="楷体" w:hAnsi="楷体" w:eastAsia="楷体" w:cs="楷体"/>
          <w:color w:val="auto"/>
          <w:sz w:val="32"/>
          <w:szCs w:val="32"/>
          <w:highlight w:val="none"/>
          <w:u w:val="none"/>
          <w:lang w:eastAsia="zh-CN"/>
        </w:rPr>
        <w:t>（</w:t>
      </w:r>
      <w:r>
        <w:rPr>
          <w:rFonts w:hint="eastAsia" w:ascii="楷体" w:hAnsi="楷体" w:eastAsia="楷体" w:cs="楷体"/>
          <w:color w:val="auto"/>
          <w:sz w:val="32"/>
          <w:szCs w:val="32"/>
          <w:highlight w:val="none"/>
          <w:u w:val="none"/>
          <w:lang w:val="en-US" w:eastAsia="zh-CN"/>
        </w:rPr>
        <w:t>一</w:t>
      </w:r>
      <w:r>
        <w:rPr>
          <w:rFonts w:hint="eastAsia" w:ascii="楷体" w:hAnsi="楷体" w:eastAsia="楷体" w:cs="楷体"/>
          <w:color w:val="auto"/>
          <w:sz w:val="32"/>
          <w:szCs w:val="32"/>
          <w:highlight w:val="none"/>
          <w:u w:val="none"/>
          <w:lang w:eastAsia="zh-CN"/>
        </w:rPr>
        <w:t>）采购品种范围</w:t>
      </w:r>
    </w:p>
    <w:p w14:paraId="18841815">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Courier New" w:eastAsia="仿宋_GB2312" w:cs="Times New Roman"/>
          <w:color w:val="auto"/>
          <w:sz w:val="32"/>
          <w:szCs w:val="20"/>
          <w:highlight w:val="none"/>
          <w:lang w:val="en-US" w:eastAsia="zh-CN"/>
        </w:rPr>
      </w:pPr>
      <w:r>
        <w:rPr>
          <w:rFonts w:hint="eastAsia" w:ascii="仿宋_GB2312" w:hAnsi="Courier New" w:eastAsia="仿宋_GB2312" w:cs="Times New Roman"/>
          <w:color w:val="auto"/>
          <w:sz w:val="32"/>
          <w:szCs w:val="20"/>
          <w:highlight w:val="none"/>
          <w:lang w:val="en-US" w:eastAsia="zh-CN"/>
        </w:rPr>
        <w:t>本次带量联动采购品种为血流导向密网支架，须包含支架和输送系统，包括但不限于国家医保医用耗材代码</w:t>
      </w:r>
      <w:r>
        <w:rPr>
          <w:rFonts w:hint="default" w:ascii="仿宋_GB2312" w:hAnsi="Courier New" w:eastAsia="仿宋_GB2312" w:cs="Times New Roman"/>
          <w:color w:val="auto"/>
          <w:sz w:val="32"/>
          <w:szCs w:val="20"/>
          <w:highlight w:val="none"/>
          <w:lang w:val="en-US" w:eastAsia="zh-CN"/>
        </w:rPr>
        <w:t>前7位为C020519</w:t>
      </w:r>
      <w:r>
        <w:rPr>
          <w:rFonts w:hint="eastAsia" w:ascii="仿宋_GB2312" w:hAnsi="Courier New" w:eastAsia="仿宋_GB2312" w:cs="Times New Roman"/>
          <w:color w:val="auto"/>
          <w:sz w:val="32"/>
          <w:szCs w:val="20"/>
          <w:highlight w:val="none"/>
          <w:lang w:val="en-US" w:eastAsia="zh-CN"/>
        </w:rPr>
        <w:t>的产品。动脉瘤瘤内栓塞器不在本次采购范围内。</w:t>
      </w:r>
    </w:p>
    <w:p w14:paraId="4268E184">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（二）产品分类和最高有效申报价</w:t>
      </w:r>
    </w:p>
    <w:p w14:paraId="0D29BCA1">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楷体" w:hAnsi="楷体" w:eastAsia="仿宋_GB2312" w:cs="楷体"/>
          <w:color w:val="auto"/>
          <w:sz w:val="32"/>
          <w:szCs w:val="32"/>
          <w:highlight w:val="none"/>
          <w:u w:val="none"/>
          <w:lang w:val="en-US" w:eastAsia="zh-CN"/>
        </w:rPr>
      </w:pPr>
      <w:r>
        <w:rPr>
          <w:rFonts w:hint="eastAsia" w:ascii="仿宋_GB2312" w:hAnsi="Courier New" w:eastAsia="仿宋_GB2312" w:cs="Times New Roman"/>
          <w:color w:val="auto"/>
          <w:sz w:val="32"/>
          <w:szCs w:val="20"/>
          <w:highlight w:val="none"/>
          <w:lang w:val="en-US" w:eastAsia="zh-CN"/>
        </w:rPr>
        <w:t>本次带量联动采购</w:t>
      </w:r>
      <w:r>
        <w:rPr>
          <w:rFonts w:hint="eastAsia" w:ascii="仿宋_GB2312" w:hAnsi="Courier New" w:eastAsia="仿宋_GB2312" w:cs="Times New Roman"/>
          <w:b w:val="0"/>
          <w:bCs w:val="0"/>
          <w:color w:val="auto"/>
          <w:sz w:val="32"/>
          <w:szCs w:val="20"/>
          <w:highlight w:val="none"/>
          <w:lang w:val="en-US" w:eastAsia="zh-CN"/>
        </w:rPr>
        <w:t>的</w:t>
      </w:r>
      <w:r>
        <w:rPr>
          <w:rFonts w:hint="eastAsia" w:ascii="仿宋_GB2312" w:hAnsi="Courier New" w:eastAsia="仿宋_GB2312" w:cs="Times New Roman"/>
          <w:color w:val="auto"/>
          <w:sz w:val="32"/>
          <w:szCs w:val="20"/>
          <w:highlight w:val="none"/>
          <w:lang w:val="en-US" w:eastAsia="zh-CN"/>
        </w:rPr>
        <w:t>血流导向密网支架不进行</w:t>
      </w:r>
      <w:r>
        <w:rPr>
          <w:rFonts w:hint="eastAsia" w:ascii="仿宋_GB2312" w:hAnsi="Courier New" w:eastAsia="仿宋_GB2312" w:cs="Times New Roman"/>
          <w:b w:val="0"/>
          <w:bCs w:val="0"/>
          <w:color w:val="auto"/>
          <w:sz w:val="32"/>
          <w:szCs w:val="20"/>
          <w:highlight w:val="none"/>
          <w:lang w:val="en-US" w:eastAsia="zh-CN"/>
        </w:rPr>
        <w:t>产品分类，最高有效申报价（P0）为69800元/根。</w:t>
      </w:r>
    </w:p>
    <w:bookmarkEnd w:id="32"/>
    <w:p w14:paraId="7F27B2F5">
      <w:pPr>
        <w:keepNext w:val="0"/>
        <w:keepLines w:val="0"/>
        <w:pageBreakBefore w:val="0"/>
        <w:widowControl w:val="0"/>
        <w:kinsoku/>
        <w:topLinePunct w:val="0"/>
        <w:autoSpaceDE/>
        <w:autoSpaceDN/>
        <w:bidi w:val="0"/>
        <w:spacing w:line="560" w:lineRule="exact"/>
        <w:ind w:left="0" w:firstLine="640" w:firstLineChars="200"/>
        <w:jc w:val="both"/>
        <w:textAlignment w:val="auto"/>
        <w:outlineLvl w:val="1"/>
        <w:rPr>
          <w:rFonts w:ascii="黑体" w:hAnsi="黑体" w:eastAsia="黑体" w:cs="黑体"/>
          <w:color w:val="auto"/>
          <w:kern w:val="2"/>
          <w:sz w:val="32"/>
          <w:szCs w:val="32"/>
          <w:highlight w:val="none"/>
          <w:u w:val="none"/>
        </w:rPr>
      </w:pPr>
      <w:bookmarkStart w:id="33" w:name="_Toc28643"/>
      <w:bookmarkStart w:id="34" w:name="_Toc16199"/>
      <w:r>
        <w:rPr>
          <w:rFonts w:hint="eastAsia" w:ascii="黑体" w:hAnsi="黑体" w:eastAsia="黑体" w:cs="黑体"/>
          <w:color w:val="auto"/>
          <w:kern w:val="2"/>
          <w:sz w:val="32"/>
          <w:szCs w:val="32"/>
          <w:highlight w:val="none"/>
          <w:u w:val="none"/>
          <w:lang w:val="en-US" w:eastAsia="zh-CN"/>
        </w:rPr>
        <w:t>三</w:t>
      </w:r>
      <w:r>
        <w:rPr>
          <w:rFonts w:hint="eastAsia" w:ascii="黑体" w:hAnsi="黑体" w:eastAsia="黑体" w:cs="黑体"/>
          <w:color w:val="auto"/>
          <w:kern w:val="2"/>
          <w:sz w:val="32"/>
          <w:szCs w:val="32"/>
          <w:highlight w:val="none"/>
          <w:u w:val="none"/>
        </w:rPr>
        <w:t>、申报要求</w:t>
      </w:r>
      <w:bookmarkEnd w:id="33"/>
      <w:bookmarkEnd w:id="34"/>
    </w:p>
    <w:p w14:paraId="643D0653">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outlineLvl w:val="2"/>
        <w:rPr>
          <w:rFonts w:hint="eastAsia" w:ascii="楷体" w:hAnsi="楷体" w:eastAsia="楷体" w:cs="楷体"/>
          <w:b w:val="0"/>
          <w:bCs w:val="0"/>
          <w:color w:val="auto"/>
          <w:sz w:val="32"/>
          <w:szCs w:val="32"/>
          <w:highlight w:val="none"/>
          <w:u w:val="none"/>
        </w:rPr>
      </w:pPr>
      <w:bookmarkStart w:id="35" w:name="_Toc14061"/>
      <w:bookmarkStart w:id="36" w:name="_Toc13825"/>
      <w:bookmarkStart w:id="37" w:name="_Toc16226"/>
      <w:bookmarkStart w:id="38" w:name="_Toc23193"/>
      <w:r>
        <w:rPr>
          <w:rFonts w:hint="eastAsia" w:ascii="楷体" w:hAnsi="楷体" w:eastAsia="楷体" w:cs="楷体"/>
          <w:b w:val="0"/>
          <w:bCs w:val="0"/>
          <w:color w:val="auto"/>
          <w:sz w:val="32"/>
          <w:szCs w:val="32"/>
          <w:highlight w:val="none"/>
          <w:u w:val="none"/>
        </w:rPr>
        <w:t>（一）申报企业要求</w:t>
      </w:r>
      <w:bookmarkEnd w:id="35"/>
      <w:bookmarkEnd w:id="36"/>
      <w:bookmarkEnd w:id="37"/>
      <w:bookmarkEnd w:id="38"/>
    </w:p>
    <w:p w14:paraId="46013211">
      <w:pPr>
        <w:keepNext w:val="0"/>
        <w:keepLines w:val="0"/>
        <w:pageBreakBefore w:val="0"/>
        <w:widowControl w:val="0"/>
        <w:kinsoku/>
        <w:wordWrap w:val="0"/>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1.申报企业为取得本次</w:t>
      </w:r>
      <w:r>
        <w:rPr>
          <w:rFonts w:hint="eastAsia" w:ascii="仿宋_GB2312" w:hAnsi="仿宋_GB2312" w:eastAsia="仿宋_GB2312" w:cs="仿宋_GB2312"/>
          <w:color w:val="auto"/>
          <w:sz w:val="32"/>
          <w:szCs w:val="32"/>
          <w:highlight w:val="none"/>
          <w:u w:val="none"/>
          <w:lang w:eastAsia="zh-CN"/>
        </w:rPr>
        <w:t>密网支架带量联动采购</w:t>
      </w:r>
      <w:r>
        <w:rPr>
          <w:rFonts w:hint="eastAsia" w:ascii="仿宋_GB2312" w:hAnsi="仿宋_GB2312" w:eastAsia="仿宋_GB2312" w:cs="仿宋_GB2312"/>
          <w:color w:val="auto"/>
          <w:sz w:val="32"/>
          <w:szCs w:val="32"/>
          <w:highlight w:val="none"/>
          <w:u w:val="none"/>
        </w:rPr>
        <w:t>品种范围内相关产品合法资质的医疗器械注册人</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含备案人，下同</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。境外医疗器械注册人应当指定我国境内企业法人协助其履行相应的法律义务，</w:t>
      </w:r>
      <w:r>
        <w:rPr>
          <w:rFonts w:hint="eastAsia" w:ascii="仿宋_GB2312" w:hAnsi="仿宋_GB2312" w:eastAsia="仿宋_GB2312" w:cs="仿宋_GB2312"/>
          <w:color w:val="auto"/>
          <w:sz w:val="32"/>
          <w:szCs w:val="32"/>
          <w:highlight w:val="none"/>
          <w:u w:val="none"/>
          <w:lang w:eastAsia="zh-CN"/>
        </w:rPr>
        <w:t>并作为申报企业开展申报，同一境外医疗器械注册人应当委托同一家企业申报。</w:t>
      </w:r>
      <w:r>
        <w:rPr>
          <w:rFonts w:hint="eastAsia" w:ascii="仿宋_GB2312" w:hAnsi="仿宋_GB2312" w:eastAsia="仿宋_GB2312" w:cs="仿宋_GB2312"/>
          <w:color w:val="auto"/>
          <w:sz w:val="32"/>
          <w:szCs w:val="32"/>
          <w:highlight w:val="none"/>
          <w:u w:val="none"/>
          <w:lang w:val="en-US" w:eastAsia="zh-CN"/>
        </w:rPr>
        <w:t>符合采购品种范围和申报企业要求的企业须于规定时间内在深圳医用耗材阳光交易和监管平台（https://yyhc.szggzy.com:9000/sso/login.html，以下简称深圳阳光平台）完成产品信息维护</w:t>
      </w:r>
      <w:r>
        <w:rPr>
          <w:rFonts w:hint="eastAsia" w:ascii="仿宋_GB2312" w:hAnsi="仿宋_GB2312" w:eastAsia="仿宋_GB2312" w:cs="仿宋_GB2312"/>
          <w:color w:val="auto"/>
          <w:sz w:val="32"/>
          <w:szCs w:val="32"/>
          <w:highlight w:val="none"/>
          <w:u w:val="none"/>
        </w:rPr>
        <w:t>。</w:t>
      </w:r>
    </w:p>
    <w:p w14:paraId="76C71686">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医疗器械注册人为同一实际控制人或存在控股关系的,如委托同一家企业申报,视为同一申报企业,应提交一份申报材料;医疗器械注册人非同一实际控制人,且不存在控股关系的,如委托同一家企业申报,视为不同申报企业,应分别提交申报材料。</w:t>
      </w:r>
    </w:p>
    <w:p w14:paraId="60A04ADA">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w:t>
      </w:r>
      <w:r>
        <w:rPr>
          <w:rFonts w:hint="default" w:ascii="Times New Roman" w:hAnsi="Times New Roman" w:eastAsia="仿宋_GB2312" w:cs="Times New Roman"/>
          <w:color w:val="auto"/>
          <w:kern w:val="2"/>
          <w:sz w:val="32"/>
          <w:szCs w:val="32"/>
          <w:highlight w:val="none"/>
          <w:lang w:val="en-US" w:eastAsia="zh-CN" w:bidi="ar-SA"/>
        </w:rPr>
        <w:t>依据医药价格和招采信用评价制度，</w:t>
      </w:r>
      <w:r>
        <w:rPr>
          <w:rFonts w:hint="eastAsia" w:ascii="仿宋_GB2312" w:hAnsi="仿宋_GB2312" w:eastAsia="仿宋_GB2312" w:cs="仿宋_GB2312"/>
          <w:color w:val="auto"/>
          <w:sz w:val="32"/>
          <w:szCs w:val="32"/>
          <w:highlight w:val="none"/>
          <w:u w:val="none"/>
        </w:rPr>
        <w:t>申报企业和医疗器械注册人未被列入当前《全国医药价格和招采失信企业风险警示名单》</w:t>
      </w:r>
      <w:r>
        <w:rPr>
          <w:rFonts w:hint="default" w:ascii="Times New Roman" w:hAnsi="Times New Roman" w:eastAsia="仿宋_GB2312" w:cs="Times New Roman"/>
          <w:color w:val="auto"/>
          <w:kern w:val="2"/>
          <w:sz w:val="32"/>
          <w:szCs w:val="32"/>
          <w:highlight w:val="none"/>
          <w:lang w:val="en-US" w:eastAsia="zh-CN" w:bidi="ar-SA"/>
        </w:rPr>
        <w:t>且未被广东省评定为“特别严重”</w:t>
      </w:r>
      <w:r>
        <w:rPr>
          <w:rFonts w:hint="eastAsia" w:ascii="Times New Roman" w:hAnsi="Times New Roman" w:eastAsia="仿宋_GB2312" w:cs="Times New Roman"/>
          <w:color w:val="auto"/>
          <w:kern w:val="2"/>
          <w:sz w:val="32"/>
          <w:szCs w:val="32"/>
          <w:highlight w:val="none"/>
          <w:lang w:val="en-US" w:eastAsia="zh-CN" w:bidi="ar-SA"/>
        </w:rPr>
        <w:t>失信等级的；申报企业因申报品种被广东省评定为“严重”失信等级的，涉及品种无申报资格。</w:t>
      </w:r>
    </w:p>
    <w:p w14:paraId="425F6E89">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.申报企业和医疗器械注册人应遵守</w:t>
      </w:r>
      <w:r>
        <w:rPr>
          <w:rFonts w:hint="eastAsia" w:ascii="仿宋_GB2312" w:hAnsi="仿宋_GB2312" w:eastAsia="仿宋_GB2312" w:cs="仿宋_GB2312"/>
          <w:color w:val="auto"/>
          <w:sz w:val="32"/>
          <w:szCs w:val="32"/>
          <w:highlight w:val="none"/>
          <w:u w:val="none"/>
          <w:lang w:eastAsia="zh-CN"/>
        </w:rPr>
        <w:t>包括但不限于</w:t>
      </w:r>
      <w:r>
        <w:rPr>
          <w:rFonts w:hint="eastAsia" w:ascii="仿宋_GB2312" w:hAnsi="仿宋_GB2312" w:eastAsia="仿宋_GB2312" w:cs="仿宋_GB2312"/>
          <w:color w:val="auto"/>
          <w:sz w:val="32"/>
          <w:szCs w:val="32"/>
          <w:highlight w:val="none"/>
          <w:u w:val="none"/>
        </w:rPr>
        <w:t>《中华人民共和国专利法》《中华人民共和国反不正当竞争法》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中华人民共和国反垄断法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等相关法律法规</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并承担相应法律责任</w:t>
      </w:r>
      <w:r>
        <w:rPr>
          <w:rFonts w:hint="eastAsia" w:ascii="仿宋_GB2312" w:hAnsi="仿宋_GB2312" w:eastAsia="仿宋_GB2312" w:cs="仿宋_GB2312"/>
          <w:color w:val="auto"/>
          <w:sz w:val="32"/>
          <w:szCs w:val="32"/>
          <w:highlight w:val="none"/>
          <w:u w:val="none"/>
        </w:rPr>
        <w:t>。</w:t>
      </w:r>
    </w:p>
    <w:p w14:paraId="28099913">
      <w:pPr>
        <w:keepNext w:val="0"/>
        <w:keepLines w:val="0"/>
        <w:pageBreakBefore w:val="0"/>
        <w:widowControl/>
        <w:kinsoku/>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5.申报企业须在本次</w:t>
      </w:r>
      <w:r>
        <w:rPr>
          <w:rFonts w:hint="eastAsia" w:ascii="仿宋_GB2312" w:hAnsi="仿宋_GB2312" w:eastAsia="仿宋_GB2312" w:cs="仿宋_GB2312"/>
          <w:color w:val="auto"/>
          <w:sz w:val="32"/>
          <w:szCs w:val="32"/>
          <w:highlight w:val="none"/>
          <w:u w:val="none"/>
          <w:lang w:eastAsia="zh-CN"/>
        </w:rPr>
        <w:t>密网支架带量联动采购</w:t>
      </w:r>
      <w:r>
        <w:rPr>
          <w:rFonts w:hint="eastAsia" w:ascii="仿宋_GB2312" w:hAnsi="仿宋_GB2312" w:eastAsia="仿宋_GB2312" w:cs="仿宋_GB2312"/>
          <w:color w:val="auto"/>
          <w:sz w:val="32"/>
          <w:szCs w:val="32"/>
          <w:highlight w:val="none"/>
          <w:u w:val="none"/>
          <w:lang w:val="en-US" w:eastAsia="zh-CN"/>
        </w:rPr>
        <w:t>过程中依据医药价格和招采信用评价制度向深圳交易中心作出承诺，该承诺或将根据工作需要公开。</w:t>
      </w:r>
    </w:p>
    <w:p w14:paraId="7FB278BA">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.受医疗器械注册人委托的申报企业</w:t>
      </w:r>
      <w:r>
        <w:rPr>
          <w:rFonts w:hint="eastAsia" w:ascii="仿宋_GB2312" w:hAnsi="仿宋_GB2312" w:eastAsia="仿宋_GB2312" w:cs="仿宋_GB2312"/>
          <w:color w:val="auto"/>
          <w:sz w:val="32"/>
          <w:szCs w:val="32"/>
          <w:highlight w:val="none"/>
          <w:u w:val="none"/>
          <w:lang w:val="en-US" w:eastAsia="zh-CN"/>
        </w:rPr>
        <w:t>原则上</w:t>
      </w:r>
      <w:r>
        <w:rPr>
          <w:rFonts w:hint="eastAsia" w:ascii="仿宋_GB2312" w:hAnsi="仿宋_GB2312" w:eastAsia="仿宋_GB2312" w:cs="仿宋_GB2312"/>
          <w:color w:val="auto"/>
          <w:sz w:val="32"/>
          <w:szCs w:val="32"/>
          <w:highlight w:val="none"/>
          <w:u w:val="none"/>
        </w:rPr>
        <w:t>须持续持有覆盖整个</w:t>
      </w:r>
      <w:r>
        <w:rPr>
          <w:rFonts w:hint="eastAsia" w:ascii="仿宋_GB2312" w:hAnsi="仿宋_GB2312" w:eastAsia="仿宋_GB2312" w:cs="仿宋_GB2312"/>
          <w:color w:val="auto"/>
          <w:sz w:val="32"/>
          <w:szCs w:val="32"/>
          <w:highlight w:val="none"/>
          <w:u w:val="none"/>
          <w:lang w:val="en-US" w:eastAsia="zh-CN"/>
        </w:rPr>
        <w:t>采购周</w:t>
      </w:r>
      <w:r>
        <w:rPr>
          <w:rFonts w:hint="eastAsia" w:ascii="仿宋_GB2312" w:hAnsi="仿宋_GB2312" w:eastAsia="仿宋_GB2312" w:cs="仿宋_GB2312"/>
          <w:color w:val="auto"/>
          <w:sz w:val="32"/>
          <w:szCs w:val="32"/>
          <w:highlight w:val="none"/>
          <w:u w:val="none"/>
        </w:rPr>
        <w:t>期的产品代理资格。</w:t>
      </w:r>
    </w:p>
    <w:p w14:paraId="4800C726">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outlineLvl w:val="2"/>
        <w:rPr>
          <w:rFonts w:hint="eastAsia" w:ascii="楷体" w:hAnsi="楷体" w:eastAsia="楷体" w:cs="楷体"/>
          <w:b w:val="0"/>
          <w:bCs w:val="0"/>
          <w:color w:val="auto"/>
          <w:sz w:val="32"/>
          <w:szCs w:val="32"/>
          <w:highlight w:val="none"/>
          <w:u w:val="none"/>
        </w:rPr>
      </w:pPr>
      <w:bookmarkStart w:id="39" w:name="_Toc18610"/>
      <w:bookmarkStart w:id="40" w:name="_Toc14913"/>
      <w:bookmarkStart w:id="41" w:name="_Toc29427"/>
      <w:bookmarkStart w:id="42" w:name="_Toc4568"/>
      <w:r>
        <w:rPr>
          <w:rFonts w:hint="eastAsia" w:ascii="楷体" w:hAnsi="楷体" w:eastAsia="楷体" w:cs="楷体"/>
          <w:b w:val="0"/>
          <w:bCs w:val="0"/>
          <w:color w:val="auto"/>
          <w:sz w:val="32"/>
          <w:szCs w:val="32"/>
          <w:highlight w:val="none"/>
          <w:u w:val="none"/>
        </w:rPr>
        <w:t>（二）申报产品要求</w:t>
      </w:r>
      <w:bookmarkEnd w:id="39"/>
      <w:bookmarkEnd w:id="40"/>
      <w:bookmarkEnd w:id="41"/>
      <w:bookmarkEnd w:id="42"/>
    </w:p>
    <w:p w14:paraId="7C7F7228">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kern w:val="2"/>
          <w:sz w:val="32"/>
          <w:szCs w:val="32"/>
          <w:highlight w:val="none"/>
          <w:u w:val="none"/>
        </w:rPr>
      </w:pPr>
      <w:r>
        <w:rPr>
          <w:rFonts w:hint="eastAsia" w:ascii="仿宋_GB2312" w:hAnsi="仿宋_GB2312" w:eastAsia="仿宋_GB2312" w:cs="仿宋_GB2312"/>
          <w:color w:val="auto"/>
          <w:sz w:val="32"/>
          <w:szCs w:val="32"/>
          <w:highlight w:val="none"/>
          <w:u w:val="none"/>
        </w:rPr>
        <w:t>1.申报产品属于本次</w:t>
      </w:r>
      <w:r>
        <w:rPr>
          <w:rFonts w:hint="eastAsia" w:ascii="仿宋_GB2312" w:hAnsi="仿宋_GB2312" w:eastAsia="仿宋_GB2312" w:cs="仿宋_GB2312"/>
          <w:color w:val="auto"/>
          <w:sz w:val="32"/>
          <w:szCs w:val="32"/>
          <w:highlight w:val="none"/>
          <w:u w:val="none"/>
          <w:lang w:eastAsia="zh-CN"/>
        </w:rPr>
        <w:t>密网支架带量联动采购</w:t>
      </w:r>
      <w:r>
        <w:rPr>
          <w:rFonts w:hint="eastAsia" w:ascii="仿宋_GB2312" w:hAnsi="仿宋_GB2312" w:eastAsia="仿宋_GB2312" w:cs="仿宋_GB2312"/>
          <w:color w:val="auto"/>
          <w:sz w:val="32"/>
          <w:szCs w:val="32"/>
          <w:highlight w:val="none"/>
          <w:u w:val="none"/>
        </w:rPr>
        <w:t>品种范围并获得有效中华人民共和国医疗器械注册证（以下简称注册证）。</w:t>
      </w:r>
    </w:p>
    <w:p w14:paraId="76C6D1B6">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2.申报产品应当符合国家有关部门的质量标准要求，并按国家有关部门要求组织生产。</w:t>
      </w:r>
    </w:p>
    <w:p w14:paraId="5B05E338">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3.申报的注册证应在有效期内（</w:t>
      </w:r>
      <w:r>
        <w:rPr>
          <w:rFonts w:hint="eastAsia" w:ascii="仿宋_GB2312" w:hAnsi="仿宋_GB2312" w:eastAsia="仿宋_GB2312" w:cs="仿宋_GB2312"/>
          <w:color w:val="auto"/>
          <w:sz w:val="32"/>
          <w:szCs w:val="32"/>
          <w:highlight w:val="none"/>
        </w:rPr>
        <w:t>以</w:t>
      </w:r>
      <w:r>
        <w:rPr>
          <w:rFonts w:hint="eastAsia" w:ascii="仿宋_GB2312" w:hAnsi="仿宋_GB2312" w:eastAsia="仿宋_GB2312" w:cs="仿宋_GB2312"/>
          <w:color w:val="auto"/>
          <w:sz w:val="32"/>
          <w:szCs w:val="32"/>
          <w:highlight w:val="none"/>
          <w:lang w:val="en-US" w:eastAsia="zh-CN"/>
        </w:rPr>
        <w:t>报名通知明确的</w:t>
      </w:r>
      <w:r>
        <w:rPr>
          <w:rFonts w:hint="eastAsia" w:ascii="仿宋_GB2312" w:hAnsi="仿宋_GB2312" w:eastAsia="仿宋_GB2312" w:cs="仿宋_GB2312"/>
          <w:color w:val="auto"/>
          <w:sz w:val="32"/>
          <w:szCs w:val="32"/>
          <w:highlight w:val="none"/>
        </w:rPr>
        <w:t>网上报名截止之日为准</w:t>
      </w:r>
      <w:r>
        <w:rPr>
          <w:rFonts w:hint="eastAsia" w:ascii="仿宋_GB2312" w:hAnsi="仿宋_GB2312" w:eastAsia="仿宋_GB2312" w:cs="仿宋_GB2312"/>
          <w:color w:val="auto"/>
          <w:sz w:val="32"/>
          <w:szCs w:val="32"/>
          <w:highlight w:val="none"/>
          <w:u w:val="none"/>
        </w:rPr>
        <w:t>）。</w:t>
      </w:r>
    </w:p>
    <w:p w14:paraId="2D969318">
      <w:pPr>
        <w:keepNext w:val="0"/>
        <w:keepLines w:val="0"/>
        <w:pageBreakBefore w:val="0"/>
        <w:widowControl w:val="0"/>
        <w:kinsoku/>
        <w:topLinePunct w:val="0"/>
        <w:autoSpaceDE/>
        <w:autoSpaceDN/>
        <w:bidi w:val="0"/>
        <w:spacing w:line="560" w:lineRule="exact"/>
        <w:ind w:left="0" w:firstLine="640" w:firstLineChars="200"/>
        <w:jc w:val="both"/>
        <w:textAlignment w:val="auto"/>
        <w:outlineLvl w:val="1"/>
        <w:rPr>
          <w:rFonts w:ascii="黑体" w:hAnsi="黑体" w:eastAsia="黑体" w:cs="黑体"/>
          <w:color w:val="auto"/>
          <w:kern w:val="2"/>
          <w:sz w:val="32"/>
          <w:szCs w:val="32"/>
          <w:highlight w:val="none"/>
          <w:u w:val="none"/>
        </w:rPr>
      </w:pPr>
      <w:bookmarkStart w:id="43" w:name="_Toc8074"/>
      <w:bookmarkStart w:id="44" w:name="_Toc18359"/>
      <w:r>
        <w:rPr>
          <w:rFonts w:hint="eastAsia" w:ascii="黑体" w:hAnsi="黑体" w:eastAsia="黑体" w:cs="黑体"/>
          <w:color w:val="auto"/>
          <w:kern w:val="2"/>
          <w:sz w:val="32"/>
          <w:szCs w:val="32"/>
          <w:highlight w:val="none"/>
          <w:u w:val="none"/>
          <w:lang w:val="en-US" w:eastAsia="zh-CN"/>
        </w:rPr>
        <w:t>四</w:t>
      </w:r>
      <w:r>
        <w:rPr>
          <w:rFonts w:hint="eastAsia" w:ascii="黑体" w:hAnsi="黑体" w:eastAsia="黑体" w:cs="黑体"/>
          <w:color w:val="auto"/>
          <w:kern w:val="2"/>
          <w:sz w:val="32"/>
          <w:szCs w:val="32"/>
          <w:highlight w:val="none"/>
          <w:u w:val="none"/>
        </w:rPr>
        <w:t>、</w:t>
      </w:r>
      <w:r>
        <w:rPr>
          <w:rFonts w:hint="eastAsia" w:ascii="黑体" w:hAnsi="黑体" w:eastAsia="黑体" w:cs="黑体"/>
          <w:color w:val="auto"/>
          <w:kern w:val="2"/>
          <w:sz w:val="32"/>
          <w:szCs w:val="32"/>
          <w:highlight w:val="none"/>
          <w:u w:val="none"/>
          <w:lang w:val="en-US" w:eastAsia="zh-CN"/>
        </w:rPr>
        <w:t>采购周期和</w:t>
      </w:r>
      <w:r>
        <w:rPr>
          <w:rFonts w:hint="eastAsia" w:ascii="黑体" w:hAnsi="黑体" w:eastAsia="黑体" w:cs="黑体"/>
          <w:color w:val="auto"/>
          <w:kern w:val="2"/>
          <w:sz w:val="32"/>
          <w:szCs w:val="32"/>
          <w:highlight w:val="none"/>
          <w:u w:val="none"/>
        </w:rPr>
        <w:t>采购协议</w:t>
      </w:r>
      <w:bookmarkEnd w:id="43"/>
      <w:bookmarkEnd w:id="44"/>
    </w:p>
    <w:p w14:paraId="62B60865">
      <w:pPr>
        <w:keepNext w:val="0"/>
        <w:keepLines w:val="0"/>
        <w:pageBreakBefore w:val="0"/>
        <w:widowControl w:val="0"/>
        <w:kinsoku/>
        <w:wordWrap w:val="0"/>
        <w:topLinePunct w:val="0"/>
        <w:autoSpaceDE/>
        <w:autoSpaceDN/>
        <w:bidi w:val="0"/>
        <w:adjustRightInd w:val="0"/>
        <w:snapToGrid w:val="0"/>
        <w:spacing w:line="560" w:lineRule="exact"/>
        <w:ind w:left="0" w:firstLine="640" w:firstLineChars="200"/>
        <w:jc w:val="both"/>
        <w:textAlignment w:val="auto"/>
        <w:outlineLvl w:val="9"/>
        <w:rPr>
          <w:rFonts w:hint="eastAsia" w:ascii="仿宋_GB2312" w:hAnsi="仿宋_GB2312" w:eastAsia="仿宋_GB2312" w:cs="仿宋_GB2312"/>
          <w:color w:val="auto"/>
          <w:sz w:val="32"/>
          <w:szCs w:val="32"/>
          <w:highlight w:val="yellow"/>
          <w:u w:val="none"/>
        </w:rPr>
      </w:pPr>
      <w:r>
        <w:rPr>
          <w:rFonts w:hint="eastAsia" w:ascii="仿宋_GB2312" w:hAnsi="仿宋_GB2312" w:eastAsia="仿宋_GB2312" w:cs="仿宋_GB2312"/>
          <w:color w:val="auto"/>
          <w:sz w:val="32"/>
          <w:szCs w:val="32"/>
          <w:highlight w:val="none"/>
          <w:u w:val="none"/>
        </w:rPr>
        <w:t>（一）</w:t>
      </w:r>
      <w:r>
        <w:rPr>
          <w:rFonts w:hint="eastAsia" w:ascii="仿宋_GB2312" w:hAnsi="Courier New" w:eastAsia="仿宋_GB2312" w:cs="Times New Roman"/>
          <w:color w:val="auto"/>
          <w:kern w:val="0"/>
          <w:sz w:val="32"/>
          <w:szCs w:val="20"/>
          <w:highlight w:val="none"/>
          <w:lang w:val="en-US" w:eastAsia="zh-CN" w:bidi="ar"/>
        </w:rPr>
        <w:t>本次</w:t>
      </w:r>
      <w:r>
        <w:rPr>
          <w:rFonts w:hint="eastAsia" w:ascii="仿宋_GB2312" w:hAnsi="仿宋_GB2312" w:eastAsia="仿宋_GB2312" w:cs="仿宋_GB2312"/>
          <w:color w:val="auto"/>
          <w:sz w:val="32"/>
          <w:szCs w:val="32"/>
          <w:highlight w:val="none"/>
          <w:u w:val="none"/>
          <w:lang w:eastAsia="zh-CN"/>
        </w:rPr>
        <w:t>密网支架带量联动采购</w:t>
      </w:r>
      <w:r>
        <w:rPr>
          <w:rFonts w:hint="eastAsia" w:ascii="仿宋_GB2312" w:hAnsi="Courier New" w:eastAsia="仿宋_GB2312" w:cs="Times New Roman"/>
          <w:color w:val="auto"/>
          <w:kern w:val="0"/>
          <w:sz w:val="32"/>
          <w:szCs w:val="20"/>
          <w:highlight w:val="none"/>
          <w:lang w:val="en-US" w:eastAsia="zh-CN" w:bidi="ar"/>
        </w:rPr>
        <w:t>周期为两年，自采购结果执行之日起计算，采购周期到期后可视实际情况延长</w:t>
      </w:r>
      <w:r>
        <w:rPr>
          <w:rFonts w:hint="default" w:ascii="Times New Roman" w:hAnsi="Times New Roman" w:eastAsia="仿宋_GB2312" w:cs="Times New Roman"/>
          <w:color w:val="auto"/>
          <w:sz w:val="32"/>
          <w:szCs w:val="32"/>
          <w:highlight w:val="none"/>
          <w:lang w:val="en-US" w:eastAsia="zh-CN"/>
        </w:rPr>
        <w:t>。</w:t>
      </w:r>
    </w:p>
    <w:p w14:paraId="35882097">
      <w:pPr>
        <w:keepNext w:val="0"/>
        <w:keepLines w:val="0"/>
        <w:pageBreakBefore w:val="0"/>
        <w:widowControl w:val="0"/>
        <w:kinsoku/>
        <w:wordWrap w:val="0"/>
        <w:topLinePunct w:val="0"/>
        <w:autoSpaceDE/>
        <w:autoSpaceDN/>
        <w:bidi w:val="0"/>
        <w:adjustRightInd w:val="0"/>
        <w:snapToGrid w:val="0"/>
        <w:spacing w:line="560" w:lineRule="exact"/>
        <w:ind w:left="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（二）采购周期内，</w:t>
      </w:r>
      <w:r>
        <w:rPr>
          <w:rFonts w:hint="eastAsia" w:ascii="仿宋_GB2312" w:hAnsi="仿宋_GB2312" w:eastAsia="仿宋_GB2312" w:cs="仿宋_GB2312"/>
          <w:color w:val="auto"/>
          <w:sz w:val="32"/>
          <w:szCs w:val="32"/>
          <w:highlight w:val="none"/>
          <w:u w:val="none"/>
          <w:lang w:val="en-US" w:eastAsia="zh-CN"/>
        </w:rPr>
        <w:t>采购协议（附件2）每年一签，续签时医疗机构续签协议采购量原则上与上一年度协议采购量相同（不再组织重新报量）。医疗机构如需调整/新增续签协议采购量，应在规定时间内向属地医保部门提交书面材料，医保部门审核同意后予以调整。</w:t>
      </w:r>
    </w:p>
    <w:p w14:paraId="2E36D40A">
      <w:pPr>
        <w:keepNext w:val="0"/>
        <w:keepLines w:val="0"/>
        <w:pageBreakBefore w:val="0"/>
        <w:widowControl w:val="0"/>
        <w:kinsoku/>
        <w:wordWrap w:val="0"/>
        <w:topLinePunct w:val="0"/>
        <w:autoSpaceDE/>
        <w:autoSpaceDN/>
        <w:bidi w:val="0"/>
        <w:adjustRightInd w:val="0"/>
        <w:snapToGrid w:val="0"/>
        <w:spacing w:line="560" w:lineRule="exact"/>
        <w:ind w:left="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（三）</w:t>
      </w:r>
      <w:r>
        <w:rPr>
          <w:rFonts w:hint="eastAsia" w:ascii="仿宋_GB2312" w:hAnsi="仿宋_GB2312" w:eastAsia="仿宋_GB2312" w:cs="仿宋_GB2312"/>
          <w:color w:val="auto"/>
          <w:sz w:val="32"/>
          <w:szCs w:val="32"/>
          <w:highlight w:val="none"/>
          <w:u w:val="none"/>
          <w:lang w:val="en-US" w:eastAsia="zh-CN"/>
        </w:rPr>
        <w:t>采购周</w:t>
      </w:r>
      <w:r>
        <w:rPr>
          <w:rFonts w:hint="eastAsia" w:ascii="仿宋_GB2312" w:hAnsi="仿宋_GB2312" w:eastAsia="仿宋_GB2312" w:cs="仿宋_GB2312"/>
          <w:color w:val="auto"/>
          <w:sz w:val="32"/>
          <w:szCs w:val="32"/>
          <w:highlight w:val="none"/>
          <w:u w:val="none"/>
        </w:rPr>
        <w:t>期内</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医疗机构</w:t>
      </w:r>
      <w:r>
        <w:rPr>
          <w:rFonts w:hint="eastAsia" w:ascii="仿宋_GB2312" w:hAnsi="仿宋_GB2312" w:eastAsia="仿宋_GB2312" w:cs="仿宋_GB2312"/>
          <w:color w:val="auto"/>
          <w:sz w:val="32"/>
          <w:szCs w:val="32"/>
          <w:highlight w:val="none"/>
          <w:u w:val="none"/>
          <w:lang w:eastAsia="zh-CN"/>
        </w:rPr>
        <w:t>应</w:t>
      </w:r>
      <w:r>
        <w:rPr>
          <w:rFonts w:hint="eastAsia" w:ascii="仿宋_GB2312" w:hAnsi="仿宋_GB2312" w:eastAsia="仿宋_GB2312" w:cs="仿宋_GB2312"/>
          <w:color w:val="auto"/>
          <w:sz w:val="32"/>
          <w:szCs w:val="32"/>
          <w:highlight w:val="none"/>
          <w:u w:val="none"/>
        </w:rPr>
        <w:t>完成协议采购量</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kern w:val="2"/>
          <w:sz w:val="32"/>
          <w:szCs w:val="32"/>
          <w:highlight w:val="none"/>
          <w:u w:val="none"/>
          <w:lang w:val="en-US" w:eastAsia="zh-CN" w:bidi="ar-SA"/>
        </w:rPr>
        <w:t>超出协议采购量部分，中选企业仍需按中选价格进行供应，直至</w:t>
      </w:r>
      <w:r>
        <w:rPr>
          <w:rFonts w:hint="eastAsia" w:ascii="仿宋_GB2312" w:hAnsi="仿宋_GB2312" w:eastAsia="仿宋_GB2312" w:cs="仿宋_GB2312"/>
          <w:color w:val="auto"/>
          <w:sz w:val="32"/>
          <w:szCs w:val="32"/>
          <w:highlight w:val="none"/>
          <w:u w:val="none"/>
          <w:lang w:val="en-US" w:eastAsia="zh-CN"/>
        </w:rPr>
        <w:t>采购周</w:t>
      </w:r>
      <w:r>
        <w:rPr>
          <w:rFonts w:hint="eastAsia" w:ascii="仿宋_GB2312" w:hAnsi="仿宋_GB2312" w:eastAsia="仿宋_GB2312" w:cs="仿宋_GB2312"/>
          <w:color w:val="auto"/>
          <w:sz w:val="32"/>
          <w:szCs w:val="32"/>
          <w:highlight w:val="none"/>
          <w:u w:val="none"/>
        </w:rPr>
        <w:t>期</w:t>
      </w:r>
      <w:r>
        <w:rPr>
          <w:rFonts w:hint="eastAsia" w:ascii="仿宋_GB2312" w:hAnsi="仿宋_GB2312" w:eastAsia="仿宋_GB2312" w:cs="仿宋_GB2312"/>
          <w:color w:val="auto"/>
          <w:kern w:val="2"/>
          <w:sz w:val="32"/>
          <w:szCs w:val="32"/>
          <w:highlight w:val="none"/>
          <w:u w:val="none"/>
          <w:lang w:val="en-US" w:eastAsia="zh-CN" w:bidi="ar-SA"/>
        </w:rPr>
        <w:t>届满。</w:t>
      </w:r>
      <w:r>
        <w:rPr>
          <w:rFonts w:hint="eastAsia" w:ascii="仿宋_GB2312" w:hAnsi="仿宋_GB2312" w:eastAsia="仿宋_GB2312" w:cs="仿宋_GB2312"/>
          <w:color w:val="auto"/>
          <w:sz w:val="32"/>
          <w:szCs w:val="32"/>
          <w:highlight w:val="none"/>
          <w:u w:val="none"/>
          <w:lang w:val="en-US" w:eastAsia="zh-CN"/>
        </w:rPr>
        <w:t>中选企业主动降低中选产品价格的，径向深圳交易中心申请。</w:t>
      </w:r>
    </w:p>
    <w:p w14:paraId="56E810AA">
      <w:pPr>
        <w:keepNext w:val="0"/>
        <w:keepLines w:val="0"/>
        <w:pageBreakBefore w:val="0"/>
        <w:widowControl w:val="0"/>
        <w:kinsoku/>
        <w:wordWrap w:val="0"/>
        <w:topLinePunct w:val="0"/>
        <w:autoSpaceDE/>
        <w:autoSpaceDN/>
        <w:bidi w:val="0"/>
        <w:adjustRightInd w:val="0"/>
        <w:snapToGrid w:val="0"/>
        <w:spacing w:line="560" w:lineRule="exact"/>
        <w:ind w:left="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四</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采购周期内，如</w:t>
      </w:r>
      <w:r>
        <w:rPr>
          <w:rFonts w:hint="eastAsia" w:ascii="仿宋_GB2312" w:hAnsi="仿宋_GB2312" w:eastAsia="仿宋_GB2312" w:cs="仿宋_GB2312"/>
          <w:color w:val="auto"/>
          <w:sz w:val="32"/>
          <w:szCs w:val="32"/>
          <w:highlight w:val="none"/>
          <w:u w:val="none"/>
          <w:lang w:val="en-US" w:eastAsia="zh-CN"/>
        </w:rPr>
        <w:t>同一中选产品</w:t>
      </w:r>
      <w:r>
        <w:rPr>
          <w:rFonts w:hint="eastAsia" w:ascii="仿宋_GB2312" w:hAnsi="仿宋_GB2312" w:eastAsia="仿宋_GB2312" w:cs="仿宋_GB2312"/>
          <w:color w:val="auto"/>
          <w:sz w:val="32"/>
          <w:szCs w:val="32"/>
          <w:highlight w:val="none"/>
          <w:u w:val="none"/>
        </w:rPr>
        <w:t>其他省级</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省际联盟</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包括三明联盟</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带量采购中选价格比本次</w:t>
      </w:r>
      <w:r>
        <w:rPr>
          <w:rFonts w:hint="eastAsia" w:ascii="仿宋_GB2312" w:hAnsi="仿宋_GB2312" w:eastAsia="仿宋_GB2312" w:cs="仿宋_GB2312"/>
          <w:color w:val="auto"/>
          <w:sz w:val="32"/>
          <w:szCs w:val="32"/>
          <w:highlight w:val="none"/>
          <w:u w:val="none"/>
          <w:lang w:val="en-US" w:eastAsia="zh-CN"/>
        </w:rPr>
        <w:t>密网支架带量联动采购</w:t>
      </w:r>
      <w:r>
        <w:rPr>
          <w:rFonts w:hint="eastAsia" w:ascii="仿宋_GB2312" w:hAnsi="仿宋_GB2312" w:eastAsia="仿宋_GB2312" w:cs="仿宋_GB2312"/>
          <w:color w:val="auto"/>
          <w:sz w:val="32"/>
          <w:szCs w:val="32"/>
          <w:highlight w:val="none"/>
          <w:u w:val="none"/>
        </w:rPr>
        <w:t>中选价格低的，须</w:t>
      </w:r>
      <w:r>
        <w:rPr>
          <w:rFonts w:hint="eastAsia" w:ascii="仿宋_GB2312" w:hAnsi="仿宋_GB2312" w:eastAsia="仿宋_GB2312" w:cs="仿宋_GB2312"/>
          <w:color w:val="auto"/>
          <w:sz w:val="32"/>
          <w:szCs w:val="32"/>
          <w:highlight w:val="none"/>
          <w:u w:val="none"/>
          <w:lang w:val="en-US" w:eastAsia="zh-CN"/>
        </w:rPr>
        <w:t>进行</w:t>
      </w:r>
      <w:r>
        <w:rPr>
          <w:rFonts w:hint="eastAsia" w:ascii="仿宋_GB2312" w:hAnsi="仿宋_GB2312" w:eastAsia="仿宋_GB2312" w:cs="仿宋_GB2312"/>
          <w:color w:val="auto"/>
          <w:sz w:val="32"/>
          <w:szCs w:val="32"/>
          <w:highlight w:val="none"/>
          <w:u w:val="none"/>
        </w:rPr>
        <w:t>价格联动，</w:t>
      </w:r>
      <w:r>
        <w:rPr>
          <w:rFonts w:hint="eastAsia" w:ascii="仿宋_GB2312" w:hAnsi="仿宋_GB2312" w:eastAsia="仿宋_GB2312" w:cs="仿宋_GB2312"/>
          <w:color w:val="auto"/>
          <w:sz w:val="32"/>
          <w:szCs w:val="32"/>
          <w:highlight w:val="none"/>
          <w:u w:val="none"/>
          <w:lang w:eastAsia="zh-CN"/>
        </w:rPr>
        <w:t>应</w:t>
      </w:r>
      <w:r>
        <w:rPr>
          <w:rFonts w:hint="eastAsia" w:ascii="仿宋_GB2312" w:hAnsi="仿宋_GB2312" w:eastAsia="仿宋_GB2312" w:cs="仿宋_GB2312"/>
          <w:color w:val="auto"/>
          <w:sz w:val="32"/>
          <w:szCs w:val="32"/>
          <w:highlight w:val="none"/>
          <w:u w:val="none"/>
          <w:lang w:val="en-US" w:eastAsia="zh-CN"/>
        </w:rPr>
        <w:t>及时向深圳交易中心</w:t>
      </w:r>
      <w:r>
        <w:rPr>
          <w:rFonts w:hint="eastAsia" w:ascii="仿宋_GB2312" w:hAnsi="仿宋_GB2312" w:eastAsia="仿宋_GB2312" w:cs="仿宋_GB2312"/>
          <w:color w:val="auto"/>
          <w:sz w:val="32"/>
          <w:szCs w:val="32"/>
          <w:highlight w:val="none"/>
          <w:u w:val="none"/>
        </w:rPr>
        <w:t>申报。若不接受价格联动的，在后续采购期内按其承诺放弃对应产品的中选资格。</w:t>
      </w:r>
    </w:p>
    <w:p w14:paraId="69C8CBA8">
      <w:pPr>
        <w:keepNext w:val="0"/>
        <w:keepLines w:val="0"/>
        <w:pageBreakBefore w:val="0"/>
        <w:widowControl w:val="0"/>
        <w:kinsoku/>
        <w:wordWrap w:val="0"/>
        <w:topLinePunct w:val="0"/>
        <w:autoSpaceDE/>
        <w:autoSpaceDN/>
        <w:bidi w:val="0"/>
        <w:adjustRightInd w:val="0"/>
        <w:snapToGrid w:val="0"/>
        <w:spacing w:line="560" w:lineRule="exact"/>
        <w:ind w:left="0" w:firstLine="640" w:firstLineChars="200"/>
        <w:jc w:val="both"/>
        <w:textAlignment w:val="auto"/>
        <w:outlineLvl w:val="1"/>
        <w:rPr>
          <w:rFonts w:ascii="华文中宋" w:hAnsi="华文中宋" w:eastAsia="华文中宋" w:cs="华文中宋"/>
          <w:color w:val="auto"/>
          <w:kern w:val="2"/>
          <w:sz w:val="32"/>
          <w:szCs w:val="32"/>
          <w:highlight w:val="none"/>
          <w:u w:val="none"/>
        </w:rPr>
      </w:pPr>
      <w:bookmarkStart w:id="45" w:name="_Toc32461"/>
      <w:bookmarkStart w:id="46" w:name="_Toc13456"/>
      <w:bookmarkStart w:id="47" w:name="_Toc31588"/>
      <w:bookmarkStart w:id="48" w:name="_Toc31638"/>
      <w:bookmarkStart w:id="49" w:name="_Toc27271"/>
      <w:bookmarkStart w:id="50" w:name="_Toc31636"/>
      <w:bookmarkStart w:id="51" w:name="_Toc23649"/>
      <w:bookmarkStart w:id="52" w:name="_Toc27266"/>
      <w:bookmarkStart w:id="53" w:name="_Toc24756"/>
      <w:r>
        <w:rPr>
          <w:rFonts w:hint="eastAsia" w:ascii="黑体" w:hAnsi="黑体" w:eastAsia="黑体" w:cs="黑体"/>
          <w:color w:val="auto"/>
          <w:kern w:val="2"/>
          <w:sz w:val="32"/>
          <w:szCs w:val="32"/>
          <w:highlight w:val="none"/>
          <w:u w:val="none"/>
          <w:lang w:val="en-US" w:eastAsia="zh-CN"/>
        </w:rPr>
        <w:t>五</w:t>
      </w:r>
      <w:r>
        <w:rPr>
          <w:rFonts w:hint="eastAsia" w:ascii="黑体" w:hAnsi="黑体" w:eastAsia="黑体" w:cs="黑体"/>
          <w:color w:val="auto"/>
          <w:kern w:val="2"/>
          <w:sz w:val="32"/>
          <w:szCs w:val="32"/>
          <w:highlight w:val="none"/>
          <w:u w:val="none"/>
        </w:rPr>
        <w:t>、采购执行说明</w:t>
      </w:r>
      <w:bookmarkEnd w:id="45"/>
      <w:bookmarkEnd w:id="46"/>
      <w:bookmarkEnd w:id="47"/>
      <w:bookmarkEnd w:id="48"/>
      <w:bookmarkEnd w:id="49"/>
      <w:bookmarkEnd w:id="50"/>
      <w:bookmarkEnd w:id="51"/>
    </w:p>
    <w:p w14:paraId="2C0E6137">
      <w:pPr>
        <w:keepNext w:val="0"/>
        <w:keepLines w:val="0"/>
        <w:pageBreakBefore w:val="0"/>
        <w:widowControl w:val="0"/>
        <w:kinsoku/>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（一</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20"/>
          <w:highlight w:val="none"/>
        </w:rPr>
        <w:t>在采购周期内，</w:t>
      </w:r>
      <w:r>
        <w:rPr>
          <w:rFonts w:hint="eastAsia" w:ascii="仿宋_GB2312" w:hAnsi="仿宋_GB2312" w:eastAsia="仿宋_GB2312" w:cs="仿宋_GB2312"/>
          <w:color w:val="auto"/>
          <w:sz w:val="32"/>
          <w:szCs w:val="32"/>
          <w:highlight w:val="none"/>
          <w:u w:val="none"/>
          <w:lang w:val="en-US" w:eastAsia="zh-CN"/>
        </w:rPr>
        <w:t>医疗机构须优先采购中选产品，并确保完成协议采购量。</w:t>
      </w:r>
      <w:r>
        <w:rPr>
          <w:rFonts w:hint="eastAsia" w:ascii="仿宋_GB2312" w:hAnsi="仿宋_GB2312" w:eastAsia="仿宋_GB2312" w:cs="仿宋_GB2312"/>
          <w:color w:val="auto"/>
          <w:sz w:val="32"/>
          <w:szCs w:val="20"/>
          <w:highlight w:val="none"/>
        </w:rPr>
        <w:t>中选产品的</w:t>
      </w:r>
      <w:r>
        <w:rPr>
          <w:rFonts w:hint="eastAsia" w:ascii="仿宋_GB2312" w:hAnsi="仿宋_GB2312" w:eastAsia="仿宋_GB2312" w:cs="仿宋_GB2312"/>
          <w:color w:val="auto"/>
          <w:sz w:val="32"/>
          <w:szCs w:val="20"/>
          <w:highlight w:val="none"/>
          <w:lang w:val="en-US" w:eastAsia="zh-CN"/>
        </w:rPr>
        <w:t>总采购数量</w:t>
      </w:r>
      <w:r>
        <w:rPr>
          <w:rFonts w:hint="eastAsia" w:ascii="仿宋_GB2312" w:hAnsi="仿宋_GB2312" w:eastAsia="仿宋_GB2312" w:cs="仿宋_GB2312"/>
          <w:color w:val="auto"/>
          <w:sz w:val="32"/>
          <w:szCs w:val="20"/>
          <w:highlight w:val="none"/>
        </w:rPr>
        <w:t>不低于</w:t>
      </w:r>
      <w:r>
        <w:rPr>
          <w:rFonts w:hint="eastAsia" w:ascii="仿宋_GB2312" w:hAnsi="仿宋_GB2312" w:eastAsia="仿宋_GB2312" w:cs="仿宋_GB2312"/>
          <w:color w:val="auto"/>
          <w:sz w:val="32"/>
          <w:szCs w:val="20"/>
          <w:highlight w:val="none"/>
          <w:lang w:val="en-US" w:eastAsia="zh-CN"/>
        </w:rPr>
        <w:t>该采购</w:t>
      </w:r>
      <w:r>
        <w:rPr>
          <w:rFonts w:hint="eastAsia" w:ascii="仿宋_GB2312" w:hAnsi="仿宋_GB2312" w:eastAsia="仿宋_GB2312" w:cs="仿宋_GB2312"/>
          <w:color w:val="auto"/>
          <w:sz w:val="32"/>
          <w:szCs w:val="20"/>
          <w:highlight w:val="none"/>
        </w:rPr>
        <w:t>品种总采购</w:t>
      </w:r>
      <w:r>
        <w:rPr>
          <w:rFonts w:hint="eastAsia" w:ascii="仿宋_GB2312" w:hAnsi="仿宋_GB2312" w:eastAsia="仿宋_GB2312" w:cs="仿宋_GB2312"/>
          <w:color w:val="auto"/>
          <w:sz w:val="32"/>
          <w:szCs w:val="20"/>
          <w:highlight w:val="none"/>
          <w:lang w:val="en-US" w:eastAsia="zh-CN"/>
        </w:rPr>
        <w:t>数</w:t>
      </w:r>
      <w:r>
        <w:rPr>
          <w:rFonts w:hint="eastAsia" w:ascii="仿宋_GB2312" w:hAnsi="仿宋_GB2312" w:eastAsia="仿宋_GB2312" w:cs="仿宋_GB2312"/>
          <w:color w:val="auto"/>
          <w:sz w:val="32"/>
          <w:szCs w:val="20"/>
          <w:highlight w:val="none"/>
        </w:rPr>
        <w:t>量的</w:t>
      </w:r>
      <w:r>
        <w:rPr>
          <w:rFonts w:hint="eastAsia" w:ascii="仿宋_GB2312" w:hAnsi="仿宋_GB2312" w:eastAsia="仿宋_GB2312" w:cs="仿宋_GB2312"/>
          <w:color w:val="auto"/>
          <w:sz w:val="32"/>
          <w:szCs w:val="20"/>
          <w:highlight w:val="none"/>
          <w:lang w:val="en-US" w:eastAsia="zh-CN"/>
        </w:rPr>
        <w:t>7</w:t>
      </w:r>
      <w:r>
        <w:rPr>
          <w:rFonts w:hint="eastAsia" w:ascii="仿宋_GB2312" w:hAnsi="仿宋_GB2312" w:eastAsia="仿宋_GB2312" w:cs="仿宋_GB2312"/>
          <w:color w:val="auto"/>
          <w:sz w:val="32"/>
          <w:szCs w:val="20"/>
          <w:highlight w:val="none"/>
        </w:rPr>
        <w:t>0%。采购周期内如遇国家政策调整，按相关规定执行。</w:t>
      </w:r>
    </w:p>
    <w:p w14:paraId="2D619DEC">
      <w:pPr>
        <w:keepNext w:val="0"/>
        <w:keepLines w:val="0"/>
        <w:pageBreakBefore w:val="0"/>
        <w:widowControl w:val="0"/>
        <w:kinsoku/>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（二）</w:t>
      </w:r>
      <w:r>
        <w:rPr>
          <w:rFonts w:hint="eastAsia" w:ascii="仿宋_GB2312" w:hAnsi="仿宋_GB2312" w:eastAsia="仿宋_GB2312" w:cs="仿宋_GB2312"/>
          <w:color w:val="auto"/>
          <w:sz w:val="32"/>
          <w:szCs w:val="32"/>
          <w:highlight w:val="none"/>
          <w:u w:val="none"/>
          <w:lang w:val="en-US" w:eastAsia="zh-CN"/>
        </w:rPr>
        <w:t>采购周期内</w:t>
      </w:r>
      <w:r>
        <w:rPr>
          <w:rFonts w:hint="eastAsia" w:ascii="仿宋_GB2312" w:hAnsi="仿宋_GB2312" w:eastAsia="仿宋_GB2312" w:cs="仿宋_GB2312"/>
          <w:color w:val="auto"/>
          <w:sz w:val="32"/>
          <w:szCs w:val="32"/>
          <w:highlight w:val="none"/>
          <w:u w:val="none"/>
        </w:rPr>
        <w:t>，如</w:t>
      </w:r>
      <w:r>
        <w:rPr>
          <w:rFonts w:hint="eastAsia" w:ascii="仿宋_GB2312" w:hAnsi="仿宋_GB2312" w:eastAsia="仿宋_GB2312" w:cs="仿宋_GB2312"/>
          <w:color w:val="auto"/>
          <w:sz w:val="32"/>
          <w:szCs w:val="32"/>
          <w:highlight w:val="none"/>
          <w:u w:val="none"/>
          <w:lang w:eastAsia="zh-CN"/>
        </w:rPr>
        <w:t>中选产品</w:t>
      </w:r>
      <w:r>
        <w:rPr>
          <w:rFonts w:hint="eastAsia" w:ascii="仿宋_GB2312" w:hAnsi="仿宋_GB2312" w:eastAsia="仿宋_GB2312" w:cs="仿宋_GB2312"/>
          <w:color w:val="auto"/>
          <w:sz w:val="32"/>
          <w:szCs w:val="32"/>
          <w:highlight w:val="none"/>
          <w:u w:val="none"/>
        </w:rPr>
        <w:t>注册证更新，中选资格</w:t>
      </w:r>
      <w:r>
        <w:rPr>
          <w:rFonts w:hint="eastAsia" w:ascii="仿宋_GB2312" w:hAnsi="仿宋_GB2312" w:eastAsia="仿宋_GB2312" w:cs="仿宋_GB2312"/>
          <w:color w:val="auto"/>
          <w:sz w:val="32"/>
          <w:szCs w:val="32"/>
          <w:highlight w:val="none"/>
          <w:u w:val="none"/>
          <w:lang w:eastAsia="zh-CN"/>
        </w:rPr>
        <w:t>及</w:t>
      </w:r>
      <w:r>
        <w:rPr>
          <w:rFonts w:hint="eastAsia" w:ascii="仿宋_GB2312" w:hAnsi="仿宋_GB2312" w:eastAsia="仿宋_GB2312" w:cs="仿宋_GB2312"/>
          <w:color w:val="auto"/>
          <w:sz w:val="32"/>
          <w:szCs w:val="32"/>
          <w:highlight w:val="none"/>
          <w:u w:val="none"/>
        </w:rPr>
        <w:t>价格</w:t>
      </w:r>
      <w:r>
        <w:rPr>
          <w:rFonts w:hint="eastAsia" w:ascii="仿宋_GB2312" w:hAnsi="仿宋_GB2312" w:eastAsia="仿宋_GB2312" w:cs="仿宋_GB2312"/>
          <w:color w:val="auto"/>
          <w:sz w:val="32"/>
          <w:szCs w:val="32"/>
          <w:highlight w:val="none"/>
          <w:u w:val="none"/>
          <w:lang w:val="en-US" w:eastAsia="zh-CN"/>
        </w:rPr>
        <w:t>均维持</w:t>
      </w:r>
      <w:r>
        <w:rPr>
          <w:rFonts w:hint="eastAsia" w:ascii="仿宋_GB2312" w:hAnsi="仿宋_GB2312" w:eastAsia="仿宋_GB2312" w:cs="仿宋_GB2312"/>
          <w:color w:val="auto"/>
          <w:sz w:val="32"/>
          <w:szCs w:val="32"/>
          <w:highlight w:val="none"/>
          <w:u w:val="none"/>
        </w:rPr>
        <w:t>不变。</w:t>
      </w:r>
    </w:p>
    <w:p w14:paraId="5DEBA1D4">
      <w:pPr>
        <w:keepNext w:val="0"/>
        <w:keepLines w:val="0"/>
        <w:pageBreakBefore w:val="0"/>
        <w:widowControl w:val="0"/>
        <w:kinsoku/>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三</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采购周期</w:t>
      </w:r>
      <w:r>
        <w:rPr>
          <w:rFonts w:hint="eastAsia" w:ascii="仿宋_GB2312" w:hAnsi="仿宋_GB2312" w:eastAsia="仿宋_GB2312" w:cs="仿宋_GB2312"/>
          <w:color w:val="auto"/>
          <w:sz w:val="32"/>
          <w:szCs w:val="32"/>
          <w:highlight w:val="none"/>
          <w:u w:val="none"/>
          <w:lang w:eastAsia="zh-CN"/>
        </w:rPr>
        <w:t>内，</w:t>
      </w:r>
      <w:r>
        <w:rPr>
          <w:rFonts w:hint="eastAsia" w:ascii="仿宋_GB2312" w:hAnsi="仿宋_GB2312" w:eastAsia="仿宋_GB2312" w:cs="仿宋_GB2312"/>
          <w:color w:val="auto"/>
          <w:sz w:val="32"/>
          <w:szCs w:val="32"/>
          <w:highlight w:val="none"/>
          <w:u w:val="none"/>
          <w:lang w:val="en-US" w:eastAsia="zh-CN"/>
        </w:rPr>
        <w:t>中选产品的</w:t>
      </w:r>
      <w:r>
        <w:rPr>
          <w:rFonts w:hint="eastAsia" w:ascii="仿宋_GB2312" w:hAnsi="仿宋_GB2312" w:eastAsia="仿宋_GB2312" w:cs="仿宋_GB2312"/>
          <w:color w:val="auto"/>
          <w:sz w:val="32"/>
          <w:szCs w:val="32"/>
          <w:highlight w:val="none"/>
          <w:u w:val="none"/>
          <w:lang w:eastAsia="zh-CN"/>
        </w:rPr>
        <w:t>境外医疗器械注册人如变更我国境内企业法人协助其履行相应法律义务的，应向</w:t>
      </w:r>
      <w:r>
        <w:rPr>
          <w:rFonts w:hint="eastAsia" w:ascii="仿宋_GB2312" w:hAnsi="仿宋_GB2312" w:eastAsia="仿宋_GB2312" w:cs="仿宋_GB2312"/>
          <w:color w:val="auto"/>
          <w:sz w:val="32"/>
          <w:szCs w:val="32"/>
          <w:highlight w:val="none"/>
          <w:u w:val="none"/>
          <w:lang w:val="en-US" w:eastAsia="zh-CN"/>
        </w:rPr>
        <w:t>深圳</w:t>
      </w:r>
      <w:r>
        <w:rPr>
          <w:rFonts w:hint="eastAsia" w:ascii="仿宋_GB2312" w:hAnsi="仿宋_GB2312" w:eastAsia="仿宋_GB2312" w:cs="仿宋_GB2312"/>
          <w:color w:val="auto"/>
          <w:sz w:val="32"/>
          <w:szCs w:val="32"/>
          <w:highlight w:val="none"/>
          <w:u w:val="none"/>
          <w:lang w:eastAsia="zh-CN"/>
        </w:rPr>
        <w:t>交易中心递</w:t>
      </w:r>
      <w:r>
        <w:rPr>
          <w:rFonts w:hint="eastAsia" w:ascii="仿宋_GB2312" w:hAnsi="仿宋_GB2312" w:eastAsia="仿宋_GB2312" w:cs="仿宋_GB2312"/>
          <w:color w:val="auto"/>
          <w:sz w:val="32"/>
          <w:szCs w:val="32"/>
          <w:highlight w:val="none"/>
          <w:u w:val="none"/>
          <w:lang w:val="en-US" w:eastAsia="zh-CN"/>
        </w:rPr>
        <w:t>交</w:t>
      </w:r>
      <w:r>
        <w:rPr>
          <w:rFonts w:hint="eastAsia" w:ascii="仿宋_GB2312" w:hAnsi="仿宋_GB2312" w:eastAsia="仿宋_GB2312" w:cs="仿宋_GB2312"/>
          <w:color w:val="auto"/>
          <w:sz w:val="32"/>
          <w:szCs w:val="32"/>
          <w:highlight w:val="none"/>
          <w:u w:val="none"/>
          <w:lang w:eastAsia="zh-CN"/>
        </w:rPr>
        <w:t>更换委托代理企业的</w:t>
      </w:r>
      <w:r>
        <w:rPr>
          <w:rFonts w:hint="eastAsia" w:ascii="仿宋_GB2312" w:hAnsi="仿宋_GB2312" w:eastAsia="仿宋_GB2312" w:cs="仿宋_GB2312"/>
          <w:color w:val="auto"/>
          <w:sz w:val="32"/>
          <w:szCs w:val="32"/>
          <w:highlight w:val="none"/>
          <w:u w:val="none"/>
          <w:lang w:val="en-US" w:eastAsia="zh-CN"/>
        </w:rPr>
        <w:t>声明和其原申报企业的知情同意书</w:t>
      </w:r>
      <w:r>
        <w:rPr>
          <w:rFonts w:hint="eastAsia" w:ascii="仿宋_GB2312" w:hAnsi="仿宋_GB2312" w:eastAsia="仿宋_GB2312" w:cs="仿宋_GB2312"/>
          <w:color w:val="auto"/>
          <w:sz w:val="32"/>
          <w:szCs w:val="32"/>
          <w:highlight w:val="none"/>
          <w:u w:val="none"/>
          <w:lang w:eastAsia="zh-CN"/>
        </w:rPr>
        <w:t>。</w:t>
      </w:r>
    </w:p>
    <w:p w14:paraId="43B0E82D">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outlineLvl w:val="1"/>
        <w:rPr>
          <w:rFonts w:ascii="黑体" w:hAnsi="黑体" w:eastAsia="黑体" w:cs="黑体"/>
          <w:color w:val="auto"/>
          <w:kern w:val="2"/>
          <w:sz w:val="32"/>
          <w:szCs w:val="32"/>
          <w:highlight w:val="none"/>
          <w:u w:val="none"/>
        </w:rPr>
      </w:pPr>
      <w:bookmarkStart w:id="54" w:name="_Toc21679"/>
      <w:bookmarkStart w:id="55" w:name="_Toc23276"/>
      <w:bookmarkStart w:id="56" w:name="_Toc28538"/>
      <w:bookmarkStart w:id="57" w:name="_Toc27174"/>
      <w:r>
        <w:rPr>
          <w:rFonts w:hint="eastAsia" w:ascii="黑体" w:hAnsi="黑体" w:eastAsia="黑体" w:cs="黑体"/>
          <w:color w:val="auto"/>
          <w:kern w:val="2"/>
          <w:sz w:val="32"/>
          <w:szCs w:val="32"/>
          <w:highlight w:val="none"/>
          <w:u w:val="none"/>
          <w:lang w:val="en-US" w:eastAsia="zh-CN"/>
        </w:rPr>
        <w:t>六</w:t>
      </w:r>
      <w:r>
        <w:rPr>
          <w:rFonts w:hint="eastAsia" w:ascii="黑体" w:hAnsi="黑体" w:eastAsia="黑体" w:cs="黑体"/>
          <w:color w:val="auto"/>
          <w:kern w:val="2"/>
          <w:sz w:val="32"/>
          <w:szCs w:val="32"/>
          <w:highlight w:val="none"/>
          <w:u w:val="none"/>
        </w:rPr>
        <w:t>、</w:t>
      </w:r>
      <w:bookmarkEnd w:id="52"/>
      <w:bookmarkEnd w:id="53"/>
      <w:r>
        <w:rPr>
          <w:rFonts w:hint="eastAsia" w:ascii="黑体" w:hAnsi="黑体" w:eastAsia="黑体" w:cs="黑体"/>
          <w:color w:val="auto"/>
          <w:kern w:val="2"/>
          <w:sz w:val="32"/>
          <w:szCs w:val="32"/>
          <w:highlight w:val="none"/>
          <w:u w:val="none"/>
        </w:rPr>
        <w:t>信息发布渠道</w:t>
      </w:r>
      <w:bookmarkEnd w:id="54"/>
      <w:bookmarkEnd w:id="55"/>
      <w:bookmarkEnd w:id="56"/>
      <w:bookmarkEnd w:id="57"/>
    </w:p>
    <w:p w14:paraId="2B17E46A">
      <w:pPr>
        <w:keepNext w:val="0"/>
        <w:keepLines w:val="0"/>
        <w:pageBreakBefore w:val="0"/>
        <w:widowControl w:val="0"/>
        <w:kinsoku/>
        <w:wordWrap w:val="0"/>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kern w:val="2"/>
          <w:sz w:val="32"/>
          <w:szCs w:val="32"/>
          <w:highlight w:val="none"/>
          <w:u w:val="none"/>
        </w:rPr>
      </w:pPr>
      <w:r>
        <w:rPr>
          <w:rFonts w:hint="eastAsia" w:ascii="仿宋_GB2312" w:hAnsi="仿宋_GB2312" w:eastAsia="仿宋_GB2312" w:cs="仿宋_GB2312"/>
          <w:color w:val="auto"/>
          <w:kern w:val="2"/>
          <w:sz w:val="32"/>
          <w:szCs w:val="32"/>
          <w:highlight w:val="none"/>
          <w:u w:val="none"/>
        </w:rPr>
        <w:t>申报企业通过深圳公共资源交易网（http://www.szggzy.com/，下同）医用耗材交易板块下载相关文件。</w:t>
      </w:r>
    </w:p>
    <w:p w14:paraId="790AC798">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kern w:val="2"/>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深圳</w:t>
      </w:r>
      <w:r>
        <w:rPr>
          <w:rFonts w:hint="eastAsia" w:ascii="仿宋_GB2312" w:hAnsi="仿宋_GB2312" w:eastAsia="仿宋_GB2312" w:cs="仿宋_GB2312"/>
          <w:color w:val="auto"/>
          <w:sz w:val="32"/>
          <w:szCs w:val="32"/>
          <w:highlight w:val="none"/>
          <w:u w:val="none"/>
          <w:lang w:eastAsia="zh-CN"/>
        </w:rPr>
        <w:t>交易中心</w:t>
      </w:r>
      <w:r>
        <w:rPr>
          <w:rFonts w:hint="eastAsia" w:ascii="仿宋_GB2312" w:hAnsi="仿宋_GB2312" w:eastAsia="仿宋_GB2312" w:cs="仿宋_GB2312"/>
          <w:color w:val="auto"/>
          <w:sz w:val="32"/>
          <w:szCs w:val="32"/>
          <w:highlight w:val="none"/>
          <w:u w:val="none"/>
        </w:rPr>
        <w:t>通过深圳公共资源交易网发布本次</w:t>
      </w:r>
      <w:r>
        <w:rPr>
          <w:rFonts w:hint="eastAsia" w:ascii="仿宋_GB2312" w:hAnsi="仿宋_GB2312" w:eastAsia="仿宋_GB2312" w:cs="仿宋_GB2312"/>
          <w:color w:val="auto"/>
          <w:sz w:val="32"/>
          <w:szCs w:val="32"/>
          <w:highlight w:val="none"/>
          <w:u w:val="none"/>
          <w:lang w:eastAsia="zh-CN"/>
        </w:rPr>
        <w:t>密网支架带量联动采购</w:t>
      </w:r>
      <w:r>
        <w:rPr>
          <w:rFonts w:hint="eastAsia" w:ascii="仿宋_GB2312" w:hAnsi="仿宋_GB2312" w:eastAsia="仿宋_GB2312" w:cs="仿宋_GB2312"/>
          <w:color w:val="auto"/>
          <w:sz w:val="32"/>
          <w:szCs w:val="32"/>
          <w:highlight w:val="none"/>
          <w:u w:val="none"/>
        </w:rPr>
        <w:t>相关通知，敬请留意。</w:t>
      </w:r>
    </w:p>
    <w:p w14:paraId="07BDAB30">
      <w:pPr>
        <w:keepNext w:val="0"/>
        <w:keepLines w:val="0"/>
        <w:pageBreakBefore w:val="0"/>
        <w:widowControl w:val="0"/>
        <w:kinsoku/>
        <w:topLinePunct w:val="0"/>
        <w:autoSpaceDE/>
        <w:autoSpaceDN/>
        <w:bidi w:val="0"/>
        <w:spacing w:line="560" w:lineRule="exact"/>
        <w:ind w:left="0" w:firstLine="640" w:firstLineChars="200"/>
        <w:jc w:val="both"/>
        <w:textAlignment w:val="auto"/>
        <w:outlineLvl w:val="1"/>
        <w:rPr>
          <w:rFonts w:ascii="黑体" w:hAnsi="黑体" w:eastAsia="黑体" w:cs="黑体"/>
          <w:color w:val="auto"/>
          <w:kern w:val="2"/>
          <w:sz w:val="32"/>
          <w:szCs w:val="32"/>
          <w:highlight w:val="none"/>
          <w:u w:val="none"/>
        </w:rPr>
      </w:pPr>
      <w:bookmarkStart w:id="58" w:name="_Toc22441"/>
      <w:bookmarkStart w:id="59" w:name="_Toc7292"/>
      <w:bookmarkStart w:id="60" w:name="_Toc14803"/>
      <w:bookmarkStart w:id="61" w:name="_Toc21993"/>
      <w:bookmarkStart w:id="62" w:name="_Toc12340"/>
      <w:bookmarkStart w:id="63" w:name="_Toc22986"/>
      <w:bookmarkStart w:id="64" w:name="_Toc20005"/>
      <w:bookmarkStart w:id="65" w:name="_Toc14070"/>
      <w:bookmarkStart w:id="66" w:name="_Toc8085"/>
      <w:bookmarkStart w:id="67" w:name="_Toc8739"/>
      <w:bookmarkStart w:id="68" w:name="_Toc27357"/>
      <w:r>
        <w:rPr>
          <w:rFonts w:hint="eastAsia" w:ascii="黑体" w:hAnsi="黑体" w:eastAsia="黑体" w:cs="黑体"/>
          <w:color w:val="auto"/>
          <w:kern w:val="2"/>
          <w:sz w:val="32"/>
          <w:szCs w:val="32"/>
          <w:highlight w:val="none"/>
          <w:u w:val="none"/>
          <w:lang w:val="en-US" w:eastAsia="zh-CN"/>
        </w:rPr>
        <w:t>七</w:t>
      </w:r>
      <w:r>
        <w:rPr>
          <w:rFonts w:hint="eastAsia" w:ascii="黑体" w:hAnsi="黑体" w:eastAsia="黑体" w:cs="黑体"/>
          <w:color w:val="auto"/>
          <w:kern w:val="2"/>
          <w:sz w:val="32"/>
          <w:szCs w:val="32"/>
          <w:highlight w:val="none"/>
          <w:u w:val="none"/>
        </w:rPr>
        <w:t>、网上报名要求</w:t>
      </w:r>
      <w:bookmarkEnd w:id="58"/>
      <w:bookmarkEnd w:id="59"/>
    </w:p>
    <w:p w14:paraId="4CB23C35">
      <w:pPr>
        <w:keepNext w:val="0"/>
        <w:keepLines w:val="0"/>
        <w:pageBreakBefore w:val="0"/>
        <w:widowControl w:val="0"/>
        <w:kinsoku/>
        <w:wordWrap w:val="0"/>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一</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本次</w:t>
      </w:r>
      <w:r>
        <w:rPr>
          <w:rFonts w:hint="eastAsia" w:ascii="仿宋_GB2312" w:hAnsi="仿宋_GB2312" w:eastAsia="仿宋_GB2312" w:cs="仿宋_GB2312"/>
          <w:color w:val="auto"/>
          <w:sz w:val="32"/>
          <w:szCs w:val="32"/>
          <w:highlight w:val="none"/>
          <w:u w:val="none"/>
          <w:lang w:eastAsia="zh-CN"/>
        </w:rPr>
        <w:t>密网支架带量联动采购</w:t>
      </w:r>
      <w:r>
        <w:rPr>
          <w:rFonts w:hint="eastAsia" w:ascii="仿宋_GB2312" w:hAnsi="仿宋_GB2312" w:eastAsia="仿宋_GB2312" w:cs="仿宋_GB2312"/>
          <w:color w:val="auto"/>
          <w:sz w:val="32"/>
          <w:szCs w:val="32"/>
          <w:highlight w:val="none"/>
          <w:u w:val="none"/>
        </w:rPr>
        <w:t>，申报企业应当按报名通知（另行发布），在规定时间内登录深圳阳光平台进行网上报名，申报企业、产品资质材料</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价格信息</w:t>
      </w:r>
      <w:r>
        <w:rPr>
          <w:rFonts w:hint="eastAsia" w:ascii="仿宋_GB2312" w:hAnsi="仿宋_GB2312" w:eastAsia="仿宋_GB2312" w:cs="仿宋_GB2312"/>
          <w:color w:val="auto"/>
          <w:sz w:val="32"/>
          <w:szCs w:val="32"/>
          <w:highlight w:val="none"/>
          <w:u w:val="none"/>
        </w:rPr>
        <w:t>及</w:t>
      </w:r>
      <w:r>
        <w:rPr>
          <w:rFonts w:hint="eastAsia" w:ascii="仿宋_GB2312" w:hAnsi="仿宋_GB2312" w:eastAsia="仿宋_GB2312" w:cs="仿宋_GB2312"/>
          <w:color w:val="auto"/>
          <w:sz w:val="32"/>
          <w:szCs w:val="32"/>
          <w:highlight w:val="none"/>
          <w:u w:val="none"/>
          <w:lang w:val="en-US" w:eastAsia="zh-CN"/>
        </w:rPr>
        <w:t>其他</w:t>
      </w:r>
      <w:r>
        <w:rPr>
          <w:rFonts w:hint="eastAsia" w:ascii="仿宋_GB2312" w:hAnsi="仿宋_GB2312" w:eastAsia="仿宋_GB2312" w:cs="仿宋_GB2312"/>
          <w:color w:val="auto"/>
          <w:sz w:val="32"/>
          <w:szCs w:val="32"/>
          <w:highlight w:val="none"/>
          <w:u w:val="none"/>
        </w:rPr>
        <w:t>证明材料</w:t>
      </w:r>
      <w:r>
        <w:rPr>
          <w:rFonts w:hint="eastAsia" w:ascii="仿宋_GB2312" w:hAnsi="仿宋_GB2312" w:eastAsia="仿宋_GB2312" w:cs="仿宋_GB2312"/>
          <w:color w:val="auto"/>
          <w:sz w:val="32"/>
          <w:szCs w:val="32"/>
          <w:highlight w:val="none"/>
          <w:u w:val="none"/>
          <w:lang w:val="en-US" w:eastAsia="zh-CN"/>
        </w:rPr>
        <w:t>等</w:t>
      </w:r>
      <w:r>
        <w:rPr>
          <w:rFonts w:hint="eastAsia" w:ascii="仿宋_GB2312" w:hAnsi="仿宋_GB2312" w:eastAsia="仿宋_GB2312" w:cs="仿宋_GB2312"/>
          <w:color w:val="auto"/>
          <w:sz w:val="32"/>
          <w:szCs w:val="32"/>
          <w:highlight w:val="none"/>
          <w:u w:val="none"/>
        </w:rPr>
        <w:t>须在报名时间内通过深圳阳光平台网上提交。</w:t>
      </w:r>
    </w:p>
    <w:p w14:paraId="0B85FCEC">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default" w:ascii="仿宋_GB2312" w:hAnsi="仿宋_GB2312" w:eastAsia="仿宋_GB2312" w:cs="仿宋_GB2312"/>
          <w:color w:val="auto"/>
          <w:kern w:val="2"/>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二</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申报企业应当</w:t>
      </w:r>
      <w:r>
        <w:rPr>
          <w:rFonts w:hint="eastAsia" w:ascii="仿宋_GB2312" w:hAnsi="仿宋_GB2312" w:eastAsia="仿宋_GB2312" w:cs="仿宋_GB2312"/>
          <w:color w:val="auto"/>
          <w:sz w:val="32"/>
          <w:szCs w:val="32"/>
          <w:highlight w:val="none"/>
          <w:u w:val="none"/>
          <w:lang w:val="en-US" w:eastAsia="zh-CN"/>
        </w:rPr>
        <w:t>及时申报获取</w:t>
      </w:r>
      <w:r>
        <w:rPr>
          <w:rFonts w:hint="eastAsia" w:ascii="仿宋_GB2312" w:hAnsi="仿宋_GB2312" w:eastAsia="仿宋_GB2312" w:cs="仿宋_GB2312"/>
          <w:color w:val="auto"/>
          <w:sz w:val="32"/>
          <w:szCs w:val="32"/>
          <w:highlight w:val="none"/>
          <w:u w:val="none"/>
        </w:rPr>
        <w:t>国家医疗保障局医保医用耗材代码</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并</w:t>
      </w:r>
      <w:r>
        <w:rPr>
          <w:rFonts w:hint="eastAsia" w:ascii="仿宋_GB2312" w:hAnsi="仿宋_GB2312" w:eastAsia="仿宋_GB2312" w:cs="仿宋_GB2312"/>
          <w:color w:val="auto"/>
          <w:sz w:val="32"/>
          <w:szCs w:val="32"/>
          <w:highlight w:val="none"/>
          <w:u w:val="none"/>
        </w:rPr>
        <w:t>确保其准确性。</w:t>
      </w:r>
    </w:p>
    <w:p w14:paraId="42AE30EF">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outlineLvl w:val="1"/>
        <w:rPr>
          <w:rFonts w:hint="default" w:ascii="黑体" w:hAnsi="黑体" w:eastAsia="黑体" w:cs="黑体"/>
          <w:color w:val="auto"/>
          <w:kern w:val="2"/>
          <w:sz w:val="32"/>
          <w:szCs w:val="32"/>
          <w:highlight w:val="none"/>
          <w:u w:val="none"/>
          <w:lang w:val="en-US" w:eastAsia="zh-CN"/>
        </w:rPr>
      </w:pPr>
      <w:bookmarkStart w:id="69" w:name="_Toc30134"/>
      <w:bookmarkStart w:id="70" w:name="_Toc29098"/>
      <w:r>
        <w:rPr>
          <w:rFonts w:hint="eastAsia" w:ascii="黑体" w:hAnsi="黑体" w:eastAsia="黑体" w:cs="黑体"/>
          <w:color w:val="auto"/>
          <w:kern w:val="2"/>
          <w:sz w:val="32"/>
          <w:szCs w:val="32"/>
          <w:highlight w:val="none"/>
          <w:u w:val="none"/>
          <w:lang w:val="en-US" w:eastAsia="zh-CN"/>
        </w:rPr>
        <w:t>八、</w:t>
      </w:r>
      <w:bookmarkEnd w:id="69"/>
      <w:r>
        <w:rPr>
          <w:rFonts w:hint="eastAsia" w:ascii="黑体" w:hAnsi="黑体" w:eastAsia="黑体" w:cs="黑体"/>
          <w:color w:val="auto"/>
          <w:kern w:val="2"/>
          <w:sz w:val="32"/>
          <w:szCs w:val="32"/>
          <w:highlight w:val="none"/>
          <w:u w:val="none"/>
          <w:lang w:val="en-US" w:eastAsia="zh-CN"/>
        </w:rPr>
        <w:t>报价安排</w:t>
      </w:r>
      <w:bookmarkEnd w:id="70"/>
    </w:p>
    <w:p w14:paraId="13384862">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本次</w:t>
      </w:r>
      <w:r>
        <w:rPr>
          <w:rFonts w:hint="eastAsia" w:ascii="仿宋_GB2312" w:hAnsi="仿宋_GB2312" w:eastAsia="仿宋_GB2312" w:cs="仿宋_GB2312"/>
          <w:color w:val="auto"/>
          <w:sz w:val="32"/>
          <w:szCs w:val="32"/>
          <w:highlight w:val="none"/>
          <w:u w:val="none"/>
          <w:lang w:eastAsia="zh-CN"/>
        </w:rPr>
        <w:t>密网支架带量联动采购</w:t>
      </w:r>
      <w:r>
        <w:rPr>
          <w:rFonts w:hint="eastAsia" w:ascii="仿宋_GB2312" w:hAnsi="仿宋_GB2312" w:eastAsia="仿宋_GB2312" w:cs="仿宋_GB2312"/>
          <w:color w:val="auto"/>
          <w:sz w:val="32"/>
          <w:szCs w:val="32"/>
          <w:highlight w:val="none"/>
          <w:u w:val="none"/>
          <w:lang w:val="en-US" w:eastAsia="zh-CN"/>
        </w:rPr>
        <w:t>采用线上报价（待定）方式，申报企业按报价通知（另行发布）要求，在规定时间内按要求进行报价。</w:t>
      </w:r>
    </w:p>
    <w:p w14:paraId="3DCF5A0D">
      <w:pPr>
        <w:keepNext w:val="0"/>
        <w:keepLines w:val="0"/>
        <w:pageBreakBefore w:val="0"/>
        <w:widowControl w:val="0"/>
        <w:kinsoku/>
        <w:topLinePunct w:val="0"/>
        <w:autoSpaceDE/>
        <w:autoSpaceDN/>
        <w:bidi w:val="0"/>
        <w:spacing w:line="560" w:lineRule="exact"/>
        <w:ind w:left="0" w:firstLine="640" w:firstLineChars="200"/>
        <w:jc w:val="both"/>
        <w:textAlignment w:val="auto"/>
        <w:outlineLvl w:val="1"/>
        <w:rPr>
          <w:rFonts w:ascii="华文中宋" w:hAnsi="华文中宋" w:eastAsia="华文中宋" w:cs="华文中宋"/>
          <w:color w:val="auto"/>
          <w:kern w:val="2"/>
          <w:sz w:val="32"/>
          <w:szCs w:val="32"/>
          <w:highlight w:val="none"/>
          <w:u w:val="none"/>
        </w:rPr>
      </w:pPr>
      <w:bookmarkStart w:id="71" w:name="_Toc4527"/>
      <w:bookmarkStart w:id="72" w:name="_Toc20424"/>
      <w:r>
        <w:rPr>
          <w:rFonts w:hint="eastAsia" w:ascii="黑体" w:hAnsi="黑体" w:eastAsia="黑体" w:cs="黑体"/>
          <w:color w:val="auto"/>
          <w:kern w:val="2"/>
          <w:sz w:val="32"/>
          <w:szCs w:val="32"/>
          <w:highlight w:val="none"/>
          <w:u w:val="none"/>
          <w:lang w:val="en-US" w:eastAsia="zh-CN"/>
        </w:rPr>
        <w:t>九</w:t>
      </w:r>
      <w:r>
        <w:rPr>
          <w:rFonts w:hint="eastAsia" w:ascii="黑体" w:hAnsi="黑体" w:eastAsia="黑体" w:cs="黑体"/>
          <w:color w:val="auto"/>
          <w:kern w:val="2"/>
          <w:sz w:val="32"/>
          <w:szCs w:val="32"/>
          <w:highlight w:val="none"/>
          <w:u w:val="none"/>
        </w:rPr>
        <w:t>、联系方式</w:t>
      </w:r>
      <w:bookmarkEnd w:id="60"/>
      <w:bookmarkEnd w:id="61"/>
      <w:bookmarkEnd w:id="62"/>
      <w:bookmarkEnd w:id="63"/>
      <w:bookmarkEnd w:id="64"/>
      <w:bookmarkEnd w:id="65"/>
      <w:bookmarkEnd w:id="66"/>
      <w:bookmarkEnd w:id="67"/>
      <w:bookmarkEnd w:id="68"/>
      <w:bookmarkEnd w:id="71"/>
      <w:bookmarkEnd w:id="72"/>
    </w:p>
    <w:p w14:paraId="17E5ABF3">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机构名称：深圳公共资源交易中心</w:t>
      </w:r>
    </w:p>
    <w:p w14:paraId="70A091BD">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机构地址：</w:t>
      </w:r>
      <w:r>
        <w:rPr>
          <w:rFonts w:hint="eastAsia" w:ascii="仿宋_GB2312" w:hAnsi="仿宋_GB2312" w:eastAsia="仿宋_GB2312" w:cs="仿宋_GB2312"/>
          <w:color w:val="auto"/>
          <w:sz w:val="32"/>
          <w:szCs w:val="32"/>
          <w:highlight w:val="none"/>
          <w:u w:val="none"/>
          <w:lang w:val="en-US" w:eastAsia="zh-CN"/>
        </w:rPr>
        <w:t>深圳交易集团总部大楼（</w:t>
      </w:r>
      <w:r>
        <w:rPr>
          <w:rFonts w:hint="eastAsia" w:ascii="仿宋_GB2312" w:hAnsi="仿宋_GB2312" w:eastAsia="仿宋_GB2312" w:cs="仿宋_GB2312"/>
          <w:color w:val="auto"/>
          <w:sz w:val="32"/>
          <w:szCs w:val="32"/>
          <w:highlight w:val="none"/>
          <w:u w:val="none"/>
        </w:rPr>
        <w:t>深圳市南山区</w:t>
      </w:r>
      <w:r>
        <w:rPr>
          <w:rFonts w:hint="eastAsia" w:ascii="仿宋_GB2312" w:hAnsi="仿宋_GB2312" w:eastAsia="仿宋_GB2312" w:cs="仿宋_GB2312"/>
          <w:color w:val="auto"/>
          <w:sz w:val="32"/>
          <w:szCs w:val="32"/>
          <w:highlight w:val="none"/>
          <w:u w:val="none"/>
          <w:lang w:val="en-US" w:eastAsia="zh-CN"/>
        </w:rPr>
        <w:t>西丽南山智谷产业园A座）</w:t>
      </w:r>
    </w:p>
    <w:p w14:paraId="197F3F30">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联系电话：0755-</w:t>
      </w:r>
      <w:r>
        <w:rPr>
          <w:rFonts w:hint="eastAsia" w:ascii="仿宋_GB2312" w:hAnsi="仿宋_GB2312" w:eastAsia="仿宋_GB2312" w:cs="仿宋_GB2312"/>
          <w:color w:val="auto"/>
          <w:sz w:val="32"/>
          <w:szCs w:val="32"/>
          <w:highlight w:val="none"/>
          <w:u w:val="none"/>
          <w:lang w:val="en-US" w:eastAsia="zh-CN"/>
        </w:rPr>
        <w:t>88653216</w:t>
      </w:r>
    </w:p>
    <w:p w14:paraId="4A95F1A2">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服务时间：9:00-12:00，14:00-18:00，节假日除外</w:t>
      </w:r>
    </w:p>
    <w:p w14:paraId="4E9DFC2B">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outlineLvl w:val="1"/>
        <w:rPr>
          <w:rFonts w:ascii="华文中宋" w:hAnsi="华文中宋" w:eastAsia="华文中宋" w:cs="华文中宋"/>
          <w:color w:val="auto"/>
          <w:kern w:val="2"/>
          <w:sz w:val="32"/>
          <w:szCs w:val="32"/>
          <w:highlight w:val="none"/>
          <w:u w:val="none"/>
        </w:rPr>
      </w:pPr>
      <w:bookmarkStart w:id="73" w:name="_Toc17784"/>
      <w:bookmarkStart w:id="74" w:name="_Toc20995"/>
      <w:bookmarkStart w:id="75" w:name="_Toc20711"/>
      <w:bookmarkStart w:id="76" w:name="_Toc16140"/>
      <w:bookmarkStart w:id="77" w:name="_Toc11523"/>
      <w:bookmarkStart w:id="78" w:name="_Toc13578"/>
      <w:bookmarkStart w:id="79" w:name="_Toc8137"/>
      <w:bookmarkStart w:id="80" w:name="_Toc5016"/>
      <w:bookmarkStart w:id="81" w:name="_Toc19319"/>
      <w:r>
        <w:rPr>
          <w:rFonts w:hint="eastAsia" w:ascii="黑体" w:hAnsi="黑体" w:eastAsia="黑体" w:cs="黑体"/>
          <w:color w:val="auto"/>
          <w:kern w:val="2"/>
          <w:sz w:val="32"/>
          <w:szCs w:val="32"/>
          <w:highlight w:val="none"/>
          <w:u w:val="none"/>
          <w:lang w:val="en-US" w:eastAsia="zh-CN"/>
        </w:rPr>
        <w:t>十</w:t>
      </w:r>
      <w:r>
        <w:rPr>
          <w:rFonts w:hint="eastAsia" w:ascii="黑体" w:hAnsi="黑体" w:eastAsia="黑体" w:cs="黑体"/>
          <w:color w:val="auto"/>
          <w:kern w:val="2"/>
          <w:sz w:val="32"/>
          <w:szCs w:val="32"/>
          <w:highlight w:val="none"/>
          <w:u w:val="none"/>
        </w:rPr>
        <w:t>、其他</w:t>
      </w:r>
      <w:bookmarkEnd w:id="73"/>
      <w:bookmarkEnd w:id="74"/>
      <w:bookmarkEnd w:id="75"/>
      <w:bookmarkEnd w:id="76"/>
      <w:bookmarkEnd w:id="77"/>
      <w:bookmarkEnd w:id="78"/>
      <w:bookmarkEnd w:id="79"/>
      <w:bookmarkEnd w:id="80"/>
      <w:bookmarkEnd w:id="81"/>
    </w:p>
    <w:p w14:paraId="1568B5DA">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（一）若因不可抗力或其他原因造成本次</w:t>
      </w:r>
      <w:r>
        <w:rPr>
          <w:rFonts w:hint="eastAsia" w:ascii="仿宋_GB2312" w:hAnsi="仿宋_GB2312" w:eastAsia="仿宋_GB2312" w:cs="仿宋_GB2312"/>
          <w:color w:val="auto"/>
          <w:sz w:val="32"/>
          <w:szCs w:val="32"/>
          <w:highlight w:val="none"/>
          <w:u w:val="none"/>
          <w:lang w:eastAsia="zh-CN"/>
        </w:rPr>
        <w:t>密网支架带量联动采购</w:t>
      </w:r>
      <w:r>
        <w:rPr>
          <w:rFonts w:hint="eastAsia" w:ascii="仿宋_GB2312" w:hAnsi="仿宋_GB2312" w:eastAsia="仿宋_GB2312" w:cs="仿宋_GB2312"/>
          <w:color w:val="auto"/>
          <w:sz w:val="32"/>
          <w:szCs w:val="32"/>
          <w:highlight w:val="none"/>
          <w:u w:val="none"/>
        </w:rPr>
        <w:t>相关工作无法进行的，</w:t>
      </w:r>
      <w:r>
        <w:rPr>
          <w:rFonts w:hint="eastAsia" w:ascii="仿宋_GB2312" w:hAnsi="仿宋_GB2312" w:eastAsia="仿宋_GB2312" w:cs="仿宋_GB2312"/>
          <w:color w:val="auto"/>
          <w:sz w:val="32"/>
          <w:szCs w:val="32"/>
          <w:highlight w:val="none"/>
          <w:u w:val="none"/>
          <w:lang w:eastAsia="zh-CN"/>
        </w:rPr>
        <w:t>深圳交易中心</w:t>
      </w:r>
      <w:r>
        <w:rPr>
          <w:rFonts w:hint="eastAsia" w:ascii="仿宋_GB2312" w:hAnsi="仿宋_GB2312" w:eastAsia="仿宋_GB2312" w:cs="仿宋_GB2312"/>
          <w:color w:val="auto"/>
          <w:sz w:val="32"/>
          <w:szCs w:val="32"/>
          <w:highlight w:val="none"/>
          <w:u w:val="none"/>
        </w:rPr>
        <w:t>视情况调整并通知公告。</w:t>
      </w:r>
    </w:p>
    <w:p w14:paraId="69A81827">
      <w:pPr>
        <w:keepNext w:val="0"/>
        <w:keepLines w:val="0"/>
        <w:pageBreakBefore w:val="0"/>
        <w:widowControl w:val="0"/>
        <w:kinsoku/>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（二）本次</w:t>
      </w:r>
      <w:r>
        <w:rPr>
          <w:rFonts w:hint="eastAsia" w:ascii="仿宋_GB2312" w:hAnsi="仿宋_GB2312" w:eastAsia="仿宋_GB2312" w:cs="仿宋_GB2312"/>
          <w:color w:val="auto"/>
          <w:sz w:val="32"/>
          <w:szCs w:val="32"/>
          <w:highlight w:val="none"/>
          <w:u w:val="none"/>
          <w:lang w:eastAsia="zh-CN"/>
        </w:rPr>
        <w:t>密网支架带量联动采购</w:t>
      </w:r>
      <w:r>
        <w:rPr>
          <w:rFonts w:hint="eastAsia" w:ascii="仿宋_GB2312" w:hAnsi="仿宋_GB2312" w:eastAsia="仿宋_GB2312" w:cs="仿宋_GB2312"/>
          <w:color w:val="auto"/>
          <w:sz w:val="32"/>
          <w:szCs w:val="32"/>
          <w:highlight w:val="none"/>
          <w:u w:val="none"/>
        </w:rPr>
        <w:t>结果执行时间等事项由</w:t>
      </w:r>
      <w:r>
        <w:rPr>
          <w:rFonts w:hint="eastAsia" w:ascii="仿宋_GB2312" w:hAnsi="仿宋_GB2312" w:eastAsia="仿宋_GB2312" w:cs="仿宋_GB2312"/>
          <w:color w:val="auto"/>
          <w:sz w:val="32"/>
          <w:szCs w:val="32"/>
          <w:highlight w:val="none"/>
          <w:u w:val="none"/>
          <w:lang w:val="en-US" w:eastAsia="zh-CN"/>
        </w:rPr>
        <w:t>广东省医保部门</w:t>
      </w:r>
      <w:r>
        <w:rPr>
          <w:rFonts w:hint="eastAsia" w:ascii="仿宋_GB2312" w:hAnsi="仿宋_GB2312" w:eastAsia="仿宋_GB2312" w:cs="仿宋_GB2312"/>
          <w:color w:val="auto"/>
          <w:sz w:val="32"/>
          <w:szCs w:val="32"/>
          <w:highlight w:val="none"/>
          <w:u w:val="none"/>
        </w:rPr>
        <w:t>另行公布。</w:t>
      </w:r>
    </w:p>
    <w:p w14:paraId="1C9C0A9C">
      <w:pPr>
        <w:keepNext w:val="0"/>
        <w:keepLines w:val="0"/>
        <w:pageBreakBefore w:val="0"/>
        <w:widowControl w:val="0"/>
        <w:kinsoku/>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br w:type="page"/>
      </w:r>
    </w:p>
    <w:p w14:paraId="6A847CEC">
      <w:pPr>
        <w:keepNext w:val="0"/>
        <w:keepLines w:val="0"/>
        <w:pageBreakBefore w:val="0"/>
        <w:kinsoku/>
        <w:overflowPunct w:val="0"/>
        <w:topLinePunct w:val="0"/>
        <w:bidi w:val="0"/>
        <w:spacing w:before="0" w:after="0" w:line="560" w:lineRule="exact"/>
        <w:ind w:left="0"/>
        <w:jc w:val="both"/>
        <w:textAlignment w:val="auto"/>
        <w:outlineLvl w:val="9"/>
        <w:rPr>
          <w:rFonts w:hint="eastAsia" w:ascii="方正小标宋简体" w:hAnsi="方正小标宋简体" w:eastAsia="方正小标宋简体" w:cs="方正小标宋简体"/>
          <w:b w:val="0"/>
          <w:bCs w:val="0"/>
          <w:color w:val="auto"/>
          <w:kern w:val="2"/>
          <w:highlight w:val="none"/>
          <w:u w:val="none"/>
        </w:rPr>
      </w:pPr>
      <w:bookmarkStart w:id="82" w:name="_Toc16036"/>
      <w:bookmarkStart w:id="83" w:name="_Toc29428"/>
      <w:bookmarkStart w:id="84" w:name="_Toc26695"/>
      <w:bookmarkStart w:id="85" w:name="_Toc24996"/>
      <w:bookmarkStart w:id="86" w:name="_Toc10997"/>
    </w:p>
    <w:p w14:paraId="57801532">
      <w:pPr>
        <w:keepNext w:val="0"/>
        <w:keepLines w:val="0"/>
        <w:pageBreakBefore w:val="0"/>
        <w:kinsoku/>
        <w:overflowPunct w:val="0"/>
        <w:topLinePunct w:val="0"/>
        <w:bidi w:val="0"/>
        <w:spacing w:before="0" w:after="0" w:line="560" w:lineRule="exact"/>
        <w:ind w:left="0"/>
        <w:jc w:val="both"/>
        <w:textAlignment w:val="auto"/>
        <w:outlineLvl w:val="9"/>
        <w:rPr>
          <w:rFonts w:hint="eastAsia" w:ascii="方正小标宋简体" w:hAnsi="方正小标宋简体" w:eastAsia="方正小标宋简体" w:cs="方正小标宋简体"/>
          <w:b w:val="0"/>
          <w:bCs w:val="0"/>
          <w:color w:val="auto"/>
          <w:kern w:val="2"/>
          <w:highlight w:val="none"/>
          <w:u w:val="none"/>
        </w:rPr>
      </w:pPr>
    </w:p>
    <w:p w14:paraId="4EB836A2">
      <w:pPr>
        <w:keepNext w:val="0"/>
        <w:keepLines w:val="0"/>
        <w:pageBreakBefore w:val="0"/>
        <w:kinsoku/>
        <w:overflowPunct w:val="0"/>
        <w:topLinePunct w:val="0"/>
        <w:bidi w:val="0"/>
        <w:spacing w:before="0" w:after="0" w:line="560" w:lineRule="exact"/>
        <w:ind w:left="0"/>
        <w:jc w:val="both"/>
        <w:textAlignment w:val="auto"/>
        <w:outlineLvl w:val="9"/>
        <w:rPr>
          <w:rFonts w:hint="eastAsia" w:ascii="方正小标宋简体" w:hAnsi="方正小标宋简体" w:eastAsia="方正小标宋简体" w:cs="方正小标宋简体"/>
          <w:b w:val="0"/>
          <w:bCs w:val="0"/>
          <w:color w:val="auto"/>
          <w:kern w:val="2"/>
          <w:highlight w:val="none"/>
          <w:u w:val="none"/>
        </w:rPr>
      </w:pPr>
    </w:p>
    <w:p w14:paraId="179BDC42">
      <w:pPr>
        <w:keepNext w:val="0"/>
        <w:keepLines w:val="0"/>
        <w:pageBreakBefore w:val="0"/>
        <w:kinsoku/>
        <w:overflowPunct w:val="0"/>
        <w:topLinePunct w:val="0"/>
        <w:bidi w:val="0"/>
        <w:spacing w:before="0" w:after="0" w:line="560" w:lineRule="exact"/>
        <w:ind w:left="0"/>
        <w:jc w:val="both"/>
        <w:textAlignment w:val="auto"/>
        <w:outlineLvl w:val="9"/>
        <w:rPr>
          <w:rFonts w:hint="eastAsia" w:ascii="方正小标宋简体" w:hAnsi="方正小标宋简体" w:eastAsia="方正小标宋简体" w:cs="方正小标宋简体"/>
          <w:b w:val="0"/>
          <w:bCs w:val="0"/>
          <w:color w:val="auto"/>
          <w:kern w:val="2"/>
          <w:highlight w:val="none"/>
          <w:u w:val="none"/>
        </w:rPr>
      </w:pPr>
    </w:p>
    <w:p w14:paraId="46255467">
      <w:pPr>
        <w:keepNext w:val="0"/>
        <w:keepLines w:val="0"/>
        <w:pageBreakBefore w:val="0"/>
        <w:kinsoku/>
        <w:overflowPunct w:val="0"/>
        <w:topLinePunct w:val="0"/>
        <w:bidi w:val="0"/>
        <w:spacing w:before="0" w:after="0" w:line="560" w:lineRule="exact"/>
        <w:ind w:left="0"/>
        <w:jc w:val="both"/>
        <w:textAlignment w:val="auto"/>
        <w:outlineLvl w:val="9"/>
        <w:rPr>
          <w:rFonts w:hint="eastAsia" w:ascii="方正小标宋简体" w:hAnsi="方正小标宋简体" w:eastAsia="方正小标宋简体" w:cs="方正小标宋简体"/>
          <w:b w:val="0"/>
          <w:bCs w:val="0"/>
          <w:color w:val="auto"/>
          <w:kern w:val="2"/>
          <w:highlight w:val="none"/>
          <w:u w:val="none"/>
        </w:rPr>
      </w:pPr>
    </w:p>
    <w:p w14:paraId="44922A41">
      <w:pPr>
        <w:keepNext w:val="0"/>
        <w:keepLines w:val="0"/>
        <w:pageBreakBefore w:val="0"/>
        <w:kinsoku/>
        <w:overflowPunct w:val="0"/>
        <w:topLinePunct w:val="0"/>
        <w:bidi w:val="0"/>
        <w:spacing w:before="0" w:after="0" w:line="560" w:lineRule="exact"/>
        <w:ind w:left="0"/>
        <w:jc w:val="both"/>
        <w:textAlignment w:val="auto"/>
        <w:outlineLvl w:val="9"/>
        <w:rPr>
          <w:rFonts w:hint="eastAsia" w:ascii="方正小标宋简体" w:hAnsi="方正小标宋简体" w:eastAsia="方正小标宋简体" w:cs="方正小标宋简体"/>
          <w:b w:val="0"/>
          <w:bCs w:val="0"/>
          <w:color w:val="auto"/>
          <w:kern w:val="2"/>
          <w:highlight w:val="none"/>
          <w:u w:val="none"/>
        </w:rPr>
      </w:pPr>
    </w:p>
    <w:p w14:paraId="59705CE4">
      <w:pPr>
        <w:keepNext w:val="0"/>
        <w:keepLines w:val="0"/>
        <w:pageBreakBefore w:val="0"/>
        <w:kinsoku/>
        <w:overflowPunct w:val="0"/>
        <w:topLinePunct w:val="0"/>
        <w:bidi w:val="0"/>
        <w:spacing w:before="0" w:after="0" w:line="560" w:lineRule="exact"/>
        <w:ind w:left="0"/>
        <w:jc w:val="both"/>
        <w:textAlignment w:val="auto"/>
        <w:outlineLvl w:val="9"/>
        <w:rPr>
          <w:rFonts w:hint="eastAsia" w:ascii="方正小标宋简体" w:hAnsi="方正小标宋简体" w:eastAsia="方正小标宋简体" w:cs="方正小标宋简体"/>
          <w:b w:val="0"/>
          <w:bCs w:val="0"/>
          <w:color w:val="auto"/>
          <w:kern w:val="2"/>
          <w:highlight w:val="none"/>
          <w:u w:val="none"/>
        </w:rPr>
      </w:pPr>
    </w:p>
    <w:p w14:paraId="00F81487">
      <w:pPr>
        <w:keepNext w:val="0"/>
        <w:keepLines w:val="0"/>
        <w:pageBreakBefore w:val="0"/>
        <w:kinsoku/>
        <w:overflowPunct w:val="0"/>
        <w:topLinePunct w:val="0"/>
        <w:bidi w:val="0"/>
        <w:spacing w:before="0" w:after="0" w:line="560" w:lineRule="exact"/>
        <w:ind w:left="0"/>
        <w:jc w:val="both"/>
        <w:textAlignment w:val="auto"/>
        <w:outlineLvl w:val="9"/>
        <w:rPr>
          <w:rFonts w:hint="eastAsia" w:ascii="方正小标宋简体" w:hAnsi="方正小标宋简体" w:eastAsia="方正小标宋简体" w:cs="方正小标宋简体"/>
          <w:b w:val="0"/>
          <w:bCs w:val="0"/>
          <w:color w:val="auto"/>
          <w:kern w:val="2"/>
          <w:highlight w:val="none"/>
          <w:u w:val="none"/>
        </w:rPr>
      </w:pPr>
    </w:p>
    <w:p w14:paraId="4304A460">
      <w:pPr>
        <w:keepNext w:val="0"/>
        <w:keepLines w:val="0"/>
        <w:pageBreakBefore w:val="0"/>
        <w:kinsoku/>
        <w:overflowPunct w:val="0"/>
        <w:topLinePunct w:val="0"/>
        <w:bidi w:val="0"/>
        <w:spacing w:before="0" w:after="0" w:line="560" w:lineRule="exact"/>
        <w:ind w:left="0"/>
        <w:jc w:val="both"/>
        <w:textAlignment w:val="auto"/>
        <w:outlineLvl w:val="9"/>
        <w:rPr>
          <w:rFonts w:hint="eastAsia" w:ascii="方正小标宋简体" w:hAnsi="方正小标宋简体" w:eastAsia="方正小标宋简体" w:cs="方正小标宋简体"/>
          <w:b w:val="0"/>
          <w:bCs w:val="0"/>
          <w:color w:val="auto"/>
          <w:kern w:val="2"/>
          <w:highlight w:val="none"/>
          <w:u w:val="none"/>
        </w:rPr>
      </w:pPr>
    </w:p>
    <w:p w14:paraId="4367A081">
      <w:pPr>
        <w:keepNext w:val="0"/>
        <w:keepLines w:val="0"/>
        <w:pageBreakBefore w:val="0"/>
        <w:kinsoku/>
        <w:overflowPunct w:val="0"/>
        <w:topLinePunct w:val="0"/>
        <w:bidi w:val="0"/>
        <w:spacing w:before="0" w:after="0" w:line="560" w:lineRule="exact"/>
        <w:ind w:left="0"/>
        <w:jc w:val="both"/>
        <w:textAlignment w:val="auto"/>
        <w:outlineLvl w:val="9"/>
        <w:rPr>
          <w:rFonts w:hint="eastAsia" w:ascii="方正小标宋简体" w:hAnsi="方正小标宋简体" w:eastAsia="方正小标宋简体" w:cs="方正小标宋简体"/>
          <w:b w:val="0"/>
          <w:bCs w:val="0"/>
          <w:color w:val="auto"/>
          <w:kern w:val="2"/>
          <w:highlight w:val="none"/>
          <w:u w:val="none"/>
        </w:rPr>
      </w:pPr>
    </w:p>
    <w:p w14:paraId="224BA70C">
      <w:pPr>
        <w:pStyle w:val="2"/>
        <w:keepNext w:val="0"/>
        <w:keepLines w:val="0"/>
        <w:pageBreakBefore w:val="0"/>
        <w:kinsoku/>
        <w:overflowPunct w:val="0"/>
        <w:topLinePunct w:val="0"/>
        <w:bidi w:val="0"/>
        <w:spacing w:before="0" w:after="0" w:line="560" w:lineRule="exact"/>
        <w:ind w:left="0"/>
        <w:jc w:val="center"/>
        <w:textAlignment w:val="auto"/>
        <w:rPr>
          <w:rFonts w:ascii="方正小标宋简体" w:hAnsi="方正小标宋简体" w:eastAsia="方正小标宋简体" w:cs="方正小标宋简体"/>
          <w:b w:val="0"/>
          <w:bCs w:val="0"/>
          <w:color w:val="auto"/>
          <w:kern w:val="2"/>
          <w:highlight w:val="none"/>
          <w:u w:val="none"/>
        </w:rPr>
      </w:pPr>
      <w:bookmarkStart w:id="87" w:name="_Toc15372"/>
      <w:bookmarkStart w:id="88" w:name="_Toc25801"/>
      <w:bookmarkStart w:id="89" w:name="_Toc2346"/>
      <w:bookmarkStart w:id="90" w:name="_Toc15598"/>
      <w:bookmarkStart w:id="91" w:name="_Toc24515"/>
      <w:bookmarkStart w:id="92" w:name="_Toc23347"/>
      <w:bookmarkStart w:id="93" w:name="_Toc32639"/>
      <w:r>
        <w:rPr>
          <w:rFonts w:hint="eastAsia" w:ascii="方正小标宋简体" w:hAnsi="方正小标宋简体" w:eastAsia="方正小标宋简体" w:cs="方正小标宋简体"/>
          <w:b w:val="0"/>
          <w:bCs w:val="0"/>
          <w:color w:val="auto"/>
          <w:kern w:val="2"/>
          <w:highlight w:val="none"/>
          <w:u w:val="none"/>
        </w:rPr>
        <w:t>第二部分 申报企业须知</w:t>
      </w:r>
      <w:bookmarkEnd w:id="82"/>
      <w:bookmarkEnd w:id="83"/>
      <w:bookmarkEnd w:id="84"/>
      <w:bookmarkEnd w:id="85"/>
      <w:bookmarkEnd w:id="87"/>
      <w:bookmarkEnd w:id="88"/>
      <w:bookmarkEnd w:id="89"/>
      <w:bookmarkEnd w:id="90"/>
      <w:bookmarkEnd w:id="91"/>
      <w:bookmarkEnd w:id="92"/>
      <w:bookmarkEnd w:id="93"/>
    </w:p>
    <w:p w14:paraId="741D4BAC">
      <w:pPr>
        <w:keepNext w:val="0"/>
        <w:keepLines w:val="0"/>
        <w:pageBreakBefore w:val="0"/>
        <w:kinsoku/>
        <w:overflowPunct w:val="0"/>
        <w:topLinePunct w:val="0"/>
        <w:bidi w:val="0"/>
        <w:spacing w:line="560" w:lineRule="exact"/>
        <w:ind w:left="0" w:firstLine="640" w:firstLineChars="200"/>
        <w:jc w:val="both"/>
        <w:textAlignment w:val="auto"/>
        <w:rPr>
          <w:rFonts w:ascii="华文中宋" w:hAnsi="华文中宋" w:eastAsia="华文中宋" w:cs="华文中宋"/>
          <w:color w:val="auto"/>
          <w:kern w:val="2"/>
          <w:sz w:val="32"/>
          <w:szCs w:val="32"/>
          <w:highlight w:val="none"/>
          <w:u w:val="none"/>
        </w:rPr>
      </w:pPr>
      <w:bookmarkStart w:id="94" w:name="_Toc1382"/>
      <w:bookmarkStart w:id="95" w:name="_Toc13252"/>
      <w:bookmarkStart w:id="96" w:name="_Toc31190"/>
    </w:p>
    <w:p w14:paraId="384E5B44">
      <w:pPr>
        <w:keepNext w:val="0"/>
        <w:keepLines w:val="0"/>
        <w:pageBreakBefore w:val="0"/>
        <w:kinsoku/>
        <w:topLinePunct w:val="0"/>
        <w:bidi w:val="0"/>
        <w:spacing w:line="560" w:lineRule="exact"/>
        <w:jc w:val="both"/>
        <w:textAlignment w:val="auto"/>
        <w:rPr>
          <w:rFonts w:hint="eastAsia" w:ascii="黑体" w:hAnsi="黑体" w:eastAsia="黑体" w:cs="黑体"/>
          <w:color w:val="auto"/>
          <w:kern w:val="2"/>
          <w:sz w:val="32"/>
          <w:szCs w:val="32"/>
          <w:highlight w:val="none"/>
          <w:u w:val="none"/>
        </w:rPr>
      </w:pPr>
      <w:bookmarkStart w:id="97" w:name="_Toc22485"/>
      <w:r>
        <w:rPr>
          <w:rFonts w:hint="eastAsia" w:ascii="黑体" w:hAnsi="黑体" w:eastAsia="黑体" w:cs="黑体"/>
          <w:color w:val="auto"/>
          <w:kern w:val="2"/>
          <w:sz w:val="32"/>
          <w:szCs w:val="32"/>
          <w:highlight w:val="none"/>
          <w:u w:val="none"/>
        </w:rPr>
        <w:br w:type="page"/>
      </w:r>
    </w:p>
    <w:p w14:paraId="5F489333">
      <w:pPr>
        <w:keepNext w:val="0"/>
        <w:keepLines w:val="0"/>
        <w:pageBreakBefore w:val="0"/>
        <w:widowControl w:val="0"/>
        <w:kinsoku/>
        <w:wordWrap/>
        <w:overflowPunct w:val="0"/>
        <w:topLinePunct w:val="0"/>
        <w:bidi w:val="0"/>
        <w:spacing w:line="560" w:lineRule="exact"/>
        <w:ind w:left="0" w:firstLine="640" w:firstLineChars="200"/>
        <w:jc w:val="both"/>
        <w:textAlignment w:val="auto"/>
        <w:outlineLvl w:val="1"/>
        <w:rPr>
          <w:rFonts w:ascii="黑体" w:hAnsi="黑体" w:eastAsia="黑体" w:cs="黑体"/>
          <w:color w:val="auto"/>
          <w:kern w:val="2"/>
          <w:sz w:val="32"/>
          <w:szCs w:val="32"/>
          <w:highlight w:val="none"/>
          <w:u w:val="none"/>
        </w:rPr>
      </w:pPr>
      <w:bookmarkStart w:id="98" w:name="_Toc6285"/>
      <w:bookmarkStart w:id="99" w:name="_Toc31537"/>
      <w:bookmarkStart w:id="100" w:name="_Toc18501"/>
      <w:bookmarkStart w:id="101" w:name="_Toc19803"/>
      <w:bookmarkStart w:id="102" w:name="_Toc21226"/>
      <w:bookmarkStart w:id="103" w:name="_Toc12785"/>
      <w:bookmarkStart w:id="104" w:name="_Toc9957"/>
      <w:r>
        <w:rPr>
          <w:rFonts w:hint="eastAsia" w:ascii="黑体" w:hAnsi="黑体" w:eastAsia="黑体" w:cs="黑体"/>
          <w:color w:val="auto"/>
          <w:kern w:val="2"/>
          <w:sz w:val="32"/>
          <w:szCs w:val="32"/>
          <w:highlight w:val="none"/>
          <w:u w:val="none"/>
        </w:rPr>
        <w:t>一、</w:t>
      </w:r>
      <w:r>
        <w:rPr>
          <w:rFonts w:hint="eastAsia" w:ascii="黑体" w:hAnsi="黑体" w:eastAsia="黑体" w:cs="黑体"/>
          <w:color w:val="auto"/>
          <w:kern w:val="2"/>
          <w:sz w:val="32"/>
          <w:szCs w:val="32"/>
          <w:highlight w:val="none"/>
          <w:u w:val="none"/>
          <w:lang w:val="en-US" w:eastAsia="zh-CN"/>
        </w:rPr>
        <w:t>集中采购</w:t>
      </w:r>
      <w:r>
        <w:rPr>
          <w:rFonts w:hint="eastAsia" w:ascii="黑体" w:hAnsi="黑体" w:eastAsia="黑体" w:cs="黑体"/>
          <w:color w:val="auto"/>
          <w:kern w:val="2"/>
          <w:sz w:val="32"/>
          <w:szCs w:val="32"/>
          <w:highlight w:val="none"/>
          <w:u w:val="none"/>
        </w:rPr>
        <w:t>当事人</w:t>
      </w:r>
      <w:bookmarkEnd w:id="94"/>
      <w:bookmarkEnd w:id="95"/>
      <w:bookmarkEnd w:id="97"/>
      <w:bookmarkEnd w:id="98"/>
      <w:bookmarkEnd w:id="99"/>
      <w:bookmarkEnd w:id="100"/>
      <w:bookmarkEnd w:id="101"/>
      <w:bookmarkEnd w:id="102"/>
      <w:bookmarkEnd w:id="103"/>
      <w:bookmarkEnd w:id="104"/>
    </w:p>
    <w:p w14:paraId="1EF9B808">
      <w:pPr>
        <w:pStyle w:val="8"/>
        <w:keepNext w:val="0"/>
        <w:keepLines w:val="0"/>
        <w:pageBreakBefore w:val="0"/>
        <w:widowControl w:val="0"/>
        <w:numPr>
          <w:ilvl w:val="255"/>
          <w:numId w:val="0"/>
        </w:numPr>
        <w:kinsoku/>
        <w:wordWrap/>
        <w:overflowPunct w:val="0"/>
        <w:topLinePunct w:val="0"/>
        <w:bidi w:val="0"/>
        <w:spacing w:line="560" w:lineRule="exact"/>
        <w:ind w:firstLine="640" w:firstLineChars="200"/>
        <w:jc w:val="both"/>
        <w:textAlignment w:val="auto"/>
        <w:outlineLvl w:val="2"/>
        <w:rPr>
          <w:rFonts w:ascii="仿宋" w:hAnsi="仿宋" w:eastAsia="仿宋" w:cs="仿宋"/>
          <w:b w:val="0"/>
          <w:bCs w:val="0"/>
          <w:color w:val="auto"/>
          <w:kern w:val="2"/>
          <w:sz w:val="32"/>
          <w:szCs w:val="32"/>
          <w:highlight w:val="none"/>
          <w:u w:val="none"/>
        </w:rPr>
      </w:pPr>
      <w:bookmarkStart w:id="105" w:name="_Toc26892"/>
      <w:bookmarkStart w:id="106" w:name="_Toc3802"/>
      <w:bookmarkStart w:id="107" w:name="_Toc6618"/>
      <w:bookmarkStart w:id="108" w:name="_Toc4261"/>
      <w:bookmarkStart w:id="109" w:name="_Toc20463"/>
      <w:bookmarkStart w:id="110" w:name="_Toc21052"/>
      <w:bookmarkStart w:id="111" w:name="_Toc21532"/>
      <w:bookmarkStart w:id="112" w:name="_Toc17708"/>
      <w:bookmarkStart w:id="113" w:name="_Toc24321"/>
      <w:bookmarkStart w:id="114" w:name="_Toc32592"/>
      <w:bookmarkStart w:id="115" w:name="_Toc30793"/>
      <w:bookmarkStart w:id="116" w:name="_Toc30836"/>
      <w:bookmarkStart w:id="117" w:name="_Toc27800"/>
      <w:bookmarkStart w:id="118" w:name="_Toc19255"/>
      <w:bookmarkStart w:id="119" w:name="_Toc1849"/>
      <w:bookmarkStart w:id="120" w:name="_Toc2352"/>
      <w:bookmarkStart w:id="121" w:name="_Toc20118"/>
      <w:bookmarkStart w:id="122" w:name="_Toc268"/>
      <w:bookmarkStart w:id="123" w:name="_Toc9004"/>
      <w:bookmarkStart w:id="124" w:name="_Toc32046"/>
      <w:bookmarkStart w:id="125" w:name="_Toc1292"/>
      <w:bookmarkStart w:id="126" w:name="_Toc17642"/>
      <w:bookmarkStart w:id="127" w:name="_Toc20917"/>
      <w:bookmarkStart w:id="128" w:name="_Toc28439"/>
      <w:bookmarkStart w:id="129" w:name="_Toc14186"/>
      <w:r>
        <w:rPr>
          <w:rFonts w:hint="eastAsia" w:ascii="楷体_GB2312" w:hAnsi="楷体_GB2312" w:eastAsia="楷体_GB2312" w:cs="楷体_GB2312"/>
          <w:b w:val="0"/>
          <w:bCs w:val="0"/>
          <w:color w:val="auto"/>
          <w:sz w:val="32"/>
          <w:szCs w:val="32"/>
          <w:highlight w:val="none"/>
          <w:u w:val="none"/>
        </w:rPr>
        <w:t>（一）申报企业</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0BFCA797">
      <w:pPr>
        <w:pStyle w:val="8"/>
        <w:keepNext w:val="0"/>
        <w:keepLines w:val="0"/>
        <w:pageBreakBefore w:val="0"/>
        <w:widowControl w:val="0"/>
        <w:numPr>
          <w:ilvl w:val="255"/>
          <w:numId w:val="0"/>
        </w:numPr>
        <w:kinsoku/>
        <w:wordWrap/>
        <w:overflowPunct w:val="0"/>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1.申报企业参加本次</w:t>
      </w:r>
      <w:r>
        <w:rPr>
          <w:rFonts w:hint="eastAsia" w:ascii="仿宋_GB2312" w:hAnsi="仿宋_GB2312" w:eastAsia="仿宋_GB2312" w:cs="仿宋_GB2312"/>
          <w:color w:val="auto"/>
          <w:sz w:val="32"/>
          <w:szCs w:val="32"/>
          <w:highlight w:val="none"/>
          <w:u w:val="none"/>
          <w:lang w:eastAsia="zh-CN"/>
        </w:rPr>
        <w:t>密网支架带量联动采购</w:t>
      </w:r>
      <w:r>
        <w:rPr>
          <w:rFonts w:hint="eastAsia" w:ascii="仿宋_GB2312" w:hAnsi="仿宋_GB2312" w:eastAsia="仿宋_GB2312" w:cs="仿宋_GB2312"/>
          <w:color w:val="auto"/>
          <w:sz w:val="32"/>
          <w:szCs w:val="32"/>
          <w:highlight w:val="none"/>
          <w:u w:val="none"/>
        </w:rPr>
        <w:t>活动应当具备以下条件：</w:t>
      </w:r>
    </w:p>
    <w:p w14:paraId="0DE15F86">
      <w:pPr>
        <w:pStyle w:val="5"/>
        <w:keepNext w:val="0"/>
        <w:keepLines w:val="0"/>
        <w:pageBreakBefore w:val="0"/>
        <w:widowControl w:val="0"/>
        <w:kinsoku/>
        <w:wordWrap/>
        <w:overflowPunct w:val="0"/>
        <w:topLinePunct w:val="0"/>
        <w:bidi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（1）具有履行采购协议必须具备的能力；</w:t>
      </w:r>
    </w:p>
    <w:p w14:paraId="4BC76739">
      <w:pPr>
        <w:keepNext w:val="0"/>
        <w:keepLines w:val="0"/>
        <w:pageBreakBefore w:val="0"/>
        <w:widowControl/>
        <w:kinsoku/>
        <w:topLinePunct w:val="0"/>
        <w:bidi w:val="0"/>
        <w:spacing w:line="560" w:lineRule="exact"/>
        <w:ind w:left="0" w:firstLine="640" w:firstLineChars="200"/>
        <w:jc w:val="both"/>
        <w:textAlignment w:val="auto"/>
        <w:rPr>
          <w:rFonts w:hint="eastAsia"/>
          <w:color w:val="auto"/>
          <w:sz w:val="32"/>
          <w:szCs w:val="32"/>
          <w:highlight w:val="none"/>
        </w:rPr>
      </w:pPr>
      <w:r>
        <w:rPr>
          <w:rFonts w:hint="eastAsia" w:ascii="仿宋_GB2312" w:hAnsi="仿宋_GB2312" w:eastAsia="仿宋_GB2312" w:cs="仿宋_GB2312"/>
          <w:color w:val="auto"/>
          <w:sz w:val="32"/>
          <w:szCs w:val="32"/>
          <w:highlight w:val="none"/>
          <w:u w:val="none"/>
          <w:lang w:val="en-US" w:eastAsia="zh-CN"/>
        </w:rPr>
        <w:t>（2）</w:t>
      </w:r>
      <w:r>
        <w:rPr>
          <w:rFonts w:hint="default" w:ascii="Times New Roman" w:hAnsi="Times New Roman" w:eastAsia="仿宋_GB2312" w:cs="Times New Roman"/>
          <w:color w:val="auto"/>
          <w:kern w:val="2"/>
          <w:sz w:val="32"/>
          <w:szCs w:val="32"/>
          <w:highlight w:val="none"/>
          <w:lang w:val="en-US" w:eastAsia="zh-CN" w:bidi="ar-SA"/>
        </w:rPr>
        <w:t>依据医药价格和招采信用评价制度，</w:t>
      </w:r>
      <w:r>
        <w:rPr>
          <w:rFonts w:hint="eastAsia" w:ascii="仿宋_GB2312" w:hAnsi="仿宋_GB2312" w:eastAsia="仿宋_GB2312" w:cs="仿宋_GB2312"/>
          <w:color w:val="auto"/>
          <w:sz w:val="32"/>
          <w:szCs w:val="32"/>
          <w:highlight w:val="none"/>
          <w:u w:val="none"/>
        </w:rPr>
        <w:t>申报企业和医疗器械注册人未被列入当前《全国医药价格和招采失信企业风险警示名单》</w:t>
      </w:r>
      <w:r>
        <w:rPr>
          <w:rFonts w:hint="default" w:ascii="Times New Roman" w:hAnsi="Times New Roman" w:eastAsia="仿宋_GB2312" w:cs="Times New Roman"/>
          <w:color w:val="auto"/>
          <w:kern w:val="2"/>
          <w:sz w:val="32"/>
          <w:szCs w:val="32"/>
          <w:highlight w:val="none"/>
          <w:lang w:val="en-US" w:eastAsia="zh-CN" w:bidi="ar-SA"/>
        </w:rPr>
        <w:t>且未被广东省评定为“特别严重”</w:t>
      </w:r>
      <w:r>
        <w:rPr>
          <w:rFonts w:hint="eastAsia" w:ascii="Times New Roman" w:hAnsi="Times New Roman" w:eastAsia="仿宋_GB2312" w:cs="Times New Roman"/>
          <w:color w:val="auto"/>
          <w:kern w:val="2"/>
          <w:sz w:val="32"/>
          <w:szCs w:val="32"/>
          <w:highlight w:val="none"/>
          <w:lang w:val="en-US" w:eastAsia="zh-CN" w:bidi="ar-SA"/>
        </w:rPr>
        <w:t>失信等级的；申报企业因申报品种被广东省评定为“严重”失信等级的，涉及品种无申报资格。</w:t>
      </w:r>
    </w:p>
    <w:p w14:paraId="325734D1">
      <w:pPr>
        <w:pStyle w:val="5"/>
        <w:keepNext w:val="0"/>
        <w:keepLines w:val="0"/>
        <w:pageBreakBefore w:val="0"/>
        <w:widowControl w:val="0"/>
        <w:kinsoku/>
        <w:wordWrap/>
        <w:overflowPunct w:val="0"/>
        <w:topLinePunct w:val="0"/>
        <w:bidi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申报企业</w:t>
      </w:r>
      <w:r>
        <w:rPr>
          <w:rFonts w:hint="eastAsia" w:ascii="仿宋_GB2312" w:hAnsi="仿宋_GB2312" w:eastAsia="仿宋_GB2312" w:cs="仿宋_GB2312"/>
          <w:color w:val="auto"/>
          <w:sz w:val="32"/>
          <w:szCs w:val="32"/>
          <w:highlight w:val="none"/>
          <w:u w:val="none"/>
        </w:rPr>
        <w:t>对申报产品的质量负责，作为供应保障的第一责任人，</w:t>
      </w:r>
      <w:r>
        <w:rPr>
          <w:rFonts w:hint="eastAsia" w:ascii="仿宋_GB2312" w:hAnsi="仿宋_GB2312" w:eastAsia="仿宋_GB2312" w:cs="仿宋_GB2312"/>
          <w:color w:val="auto"/>
          <w:sz w:val="32"/>
          <w:szCs w:val="32"/>
          <w:highlight w:val="none"/>
          <w:u w:val="none"/>
          <w:lang w:val="en-US" w:eastAsia="zh-CN"/>
        </w:rPr>
        <w:t>中选后</w:t>
      </w:r>
      <w:r>
        <w:rPr>
          <w:rFonts w:hint="eastAsia" w:ascii="仿宋_GB2312" w:hAnsi="仿宋_GB2312" w:eastAsia="仿宋_GB2312" w:cs="仿宋_GB2312"/>
          <w:color w:val="auto"/>
          <w:sz w:val="32"/>
          <w:szCs w:val="32"/>
          <w:highlight w:val="none"/>
          <w:u w:val="none"/>
        </w:rPr>
        <w:t>及时、足量按要求组织生产，并向配送企业</w:t>
      </w:r>
      <w:r>
        <w:rPr>
          <w:rFonts w:hint="eastAsia" w:ascii="仿宋_GB2312" w:hAnsi="仿宋_GB2312" w:eastAsia="仿宋_GB2312" w:cs="仿宋_GB2312"/>
          <w:color w:val="auto"/>
          <w:sz w:val="32"/>
          <w:szCs w:val="32"/>
          <w:highlight w:val="none"/>
          <w:u w:val="none"/>
          <w:lang w:val="en-US" w:eastAsia="zh-CN"/>
        </w:rPr>
        <w:t>供应中选产品</w:t>
      </w:r>
      <w:r>
        <w:rPr>
          <w:rFonts w:hint="eastAsia" w:ascii="仿宋_GB2312" w:hAnsi="仿宋_GB2312" w:eastAsia="仿宋_GB2312" w:cs="仿宋_GB2312"/>
          <w:color w:val="auto"/>
          <w:sz w:val="32"/>
          <w:szCs w:val="32"/>
          <w:highlight w:val="none"/>
          <w:u w:val="none"/>
        </w:rPr>
        <w:t>，满足</w:t>
      </w:r>
      <w:r>
        <w:rPr>
          <w:rFonts w:hint="eastAsia" w:ascii="仿宋_GB2312" w:hAnsi="仿宋_GB2312" w:eastAsia="仿宋_GB2312" w:cs="仿宋_GB2312"/>
          <w:color w:val="auto"/>
          <w:sz w:val="32"/>
          <w:szCs w:val="32"/>
          <w:highlight w:val="none"/>
          <w:u w:val="none"/>
          <w:lang w:val="en-US" w:eastAsia="zh-CN"/>
        </w:rPr>
        <w:t>广东省</w:t>
      </w:r>
      <w:r>
        <w:rPr>
          <w:rFonts w:hint="eastAsia" w:ascii="仿宋_GB2312" w:hAnsi="仿宋_GB2312" w:eastAsia="仿宋_GB2312" w:cs="仿宋_GB2312"/>
          <w:color w:val="auto"/>
          <w:sz w:val="32"/>
          <w:szCs w:val="32"/>
          <w:highlight w:val="none"/>
          <w:u w:val="none"/>
        </w:rPr>
        <w:t>医疗机构临床使用需求。</w:t>
      </w:r>
    </w:p>
    <w:p w14:paraId="3E0C767D">
      <w:pPr>
        <w:pStyle w:val="5"/>
        <w:keepNext w:val="0"/>
        <w:keepLines w:val="0"/>
        <w:pageBreakBefore w:val="0"/>
        <w:widowControl w:val="0"/>
        <w:kinsoku/>
        <w:wordWrap/>
        <w:overflowPunct w:val="0"/>
        <w:topLinePunct w:val="0"/>
        <w:bidi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2.申报企业应当按照本采购文件的要求编制申报材料，申报材料应对本采购文件提出的要求和条件作出响应。</w:t>
      </w:r>
    </w:p>
    <w:p w14:paraId="4A346B44">
      <w:pPr>
        <w:keepNext w:val="0"/>
        <w:keepLines w:val="0"/>
        <w:pageBreakBefore w:val="0"/>
        <w:widowControl w:val="0"/>
        <w:kinsoku/>
        <w:wordWrap/>
        <w:topLinePunct w:val="0"/>
        <w:bidi w:val="0"/>
        <w:adjustRightInd w:val="0"/>
        <w:snapToGrid w:val="0"/>
        <w:spacing w:line="560" w:lineRule="exact"/>
        <w:ind w:left="0" w:firstLine="640" w:firstLineChars="200"/>
        <w:jc w:val="both"/>
        <w:textAlignment w:val="auto"/>
        <w:outlineLvl w:val="2"/>
        <w:rPr>
          <w:rFonts w:ascii="楷体_GB2312" w:hAnsi="楷体_GB2312" w:eastAsia="楷体_GB2312" w:cs="楷体_GB2312"/>
          <w:b w:val="0"/>
          <w:bCs w:val="0"/>
          <w:color w:val="auto"/>
          <w:sz w:val="32"/>
          <w:szCs w:val="32"/>
          <w:highlight w:val="none"/>
          <w:u w:val="none"/>
        </w:rPr>
      </w:pPr>
      <w:bookmarkStart w:id="130" w:name="_Toc28958"/>
      <w:bookmarkStart w:id="131" w:name="_Toc2983"/>
      <w:bookmarkStart w:id="132" w:name="_Toc18562"/>
      <w:bookmarkStart w:id="133" w:name="_Toc22123"/>
      <w:bookmarkStart w:id="134" w:name="_Toc14025"/>
      <w:bookmarkStart w:id="135" w:name="_Toc11578"/>
      <w:bookmarkStart w:id="136" w:name="_Toc5385"/>
      <w:bookmarkStart w:id="137" w:name="_Toc19146"/>
      <w:bookmarkStart w:id="138" w:name="_Toc20280"/>
      <w:bookmarkStart w:id="139" w:name="_Toc13839"/>
      <w:bookmarkStart w:id="140" w:name="_Toc18481"/>
      <w:bookmarkStart w:id="141" w:name="_Toc28122"/>
      <w:bookmarkStart w:id="142" w:name="_Toc5343"/>
      <w:bookmarkStart w:id="143" w:name="_Toc28178"/>
      <w:bookmarkStart w:id="144" w:name="_Toc29277"/>
      <w:bookmarkStart w:id="145" w:name="_Toc22170"/>
      <w:bookmarkStart w:id="146" w:name="_Toc10516"/>
      <w:bookmarkStart w:id="147" w:name="_Toc29580"/>
      <w:bookmarkStart w:id="148" w:name="_Toc25596"/>
      <w:bookmarkStart w:id="149" w:name="_Toc30548"/>
      <w:bookmarkStart w:id="150" w:name="_Toc6885"/>
      <w:bookmarkStart w:id="151" w:name="_Toc7732"/>
      <w:bookmarkStart w:id="152" w:name="_Toc26820"/>
      <w:bookmarkStart w:id="153" w:name="_Toc31712"/>
      <w:bookmarkStart w:id="154" w:name="_Toc25440"/>
      <w:r>
        <w:rPr>
          <w:rFonts w:hint="eastAsia" w:ascii="楷体_GB2312" w:hAnsi="楷体_GB2312" w:eastAsia="楷体_GB2312" w:cs="楷体_GB2312"/>
          <w:b w:val="0"/>
          <w:bCs w:val="0"/>
          <w:color w:val="auto"/>
          <w:sz w:val="32"/>
          <w:szCs w:val="32"/>
          <w:highlight w:val="none"/>
          <w:u w:val="none"/>
        </w:rPr>
        <w:t>（二）其他要求</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F78FB9">
      <w:pPr>
        <w:pStyle w:val="8"/>
        <w:keepNext w:val="0"/>
        <w:keepLines w:val="0"/>
        <w:pageBreakBefore w:val="0"/>
        <w:widowControl w:val="0"/>
        <w:numPr>
          <w:ilvl w:val="255"/>
          <w:numId w:val="0"/>
        </w:numPr>
        <w:kinsoku/>
        <w:wordWrap/>
        <w:overflowPunct w:val="0"/>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1.若申报企业不具备申报资格中规定必须满足的全部要求，或涉嫌提供虚假证明材料的，一经确认，</w:t>
      </w:r>
      <w:r>
        <w:rPr>
          <w:rFonts w:hint="eastAsia" w:ascii="仿宋_GB2312" w:hAnsi="仿宋_GB2312" w:eastAsia="仿宋_GB2312" w:cs="仿宋_GB2312"/>
          <w:color w:val="auto"/>
          <w:sz w:val="32"/>
          <w:szCs w:val="32"/>
          <w:highlight w:val="none"/>
          <w:u w:val="none"/>
          <w:lang w:eastAsia="zh-CN"/>
        </w:rPr>
        <w:t>深圳交易中心</w:t>
      </w:r>
      <w:r>
        <w:rPr>
          <w:rFonts w:hint="eastAsia" w:ascii="仿宋_GB2312" w:hAnsi="仿宋_GB2312" w:eastAsia="仿宋_GB2312" w:cs="仿宋_GB2312"/>
          <w:color w:val="auto"/>
          <w:sz w:val="32"/>
          <w:szCs w:val="32"/>
          <w:highlight w:val="none"/>
          <w:u w:val="none"/>
        </w:rPr>
        <w:t>将视其为无效申报，由此造成的一切不利后果由申报企业自行承担。</w:t>
      </w:r>
    </w:p>
    <w:p w14:paraId="0C6DBC72">
      <w:pPr>
        <w:pStyle w:val="8"/>
        <w:keepNext w:val="0"/>
        <w:keepLines w:val="0"/>
        <w:pageBreakBefore w:val="0"/>
        <w:widowControl w:val="0"/>
        <w:numPr>
          <w:ilvl w:val="255"/>
          <w:numId w:val="0"/>
        </w:numPr>
        <w:kinsoku/>
        <w:wordWrap/>
        <w:overflowPunct w:val="0"/>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2.申报企业中选后，须按</w:t>
      </w:r>
      <w:r>
        <w:rPr>
          <w:rFonts w:hint="eastAsia" w:ascii="仿宋_GB2312" w:hAnsi="仿宋_GB2312" w:eastAsia="仿宋_GB2312" w:cs="仿宋_GB2312"/>
          <w:color w:val="auto"/>
          <w:sz w:val="32"/>
          <w:szCs w:val="32"/>
          <w:highlight w:val="none"/>
          <w:u w:val="none"/>
          <w:lang w:val="en-US" w:eastAsia="zh-CN"/>
        </w:rPr>
        <w:t>市医保部门</w:t>
      </w:r>
      <w:r>
        <w:rPr>
          <w:rFonts w:hint="eastAsia" w:ascii="仿宋_GB2312" w:hAnsi="仿宋_GB2312" w:eastAsia="仿宋_GB2312" w:cs="仿宋_GB2312"/>
          <w:color w:val="auto"/>
          <w:sz w:val="32"/>
          <w:szCs w:val="32"/>
          <w:highlight w:val="none"/>
          <w:u w:val="none"/>
        </w:rPr>
        <w:t>要求签订采购协议。</w:t>
      </w:r>
    </w:p>
    <w:p w14:paraId="58DB59A0">
      <w:pPr>
        <w:pStyle w:val="8"/>
        <w:keepNext w:val="0"/>
        <w:keepLines w:val="0"/>
        <w:pageBreakBefore w:val="0"/>
        <w:widowControl w:val="0"/>
        <w:numPr>
          <w:ilvl w:val="255"/>
          <w:numId w:val="0"/>
        </w:numPr>
        <w:kinsoku/>
        <w:wordWrap/>
        <w:overflowPunct w:val="0"/>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color w:val="auto"/>
          <w:sz w:val="32"/>
          <w:szCs w:val="32"/>
          <w:highlight w:val="none"/>
          <w:u w:val="none"/>
        </w:rPr>
        <w:t>3.</w:t>
      </w:r>
      <w:r>
        <w:rPr>
          <w:rFonts w:hint="eastAsia" w:ascii="仿宋_GB2312" w:hAnsi="仿宋_GB2312" w:eastAsia="仿宋_GB2312" w:cs="仿宋_GB2312"/>
          <w:color w:val="auto"/>
          <w:sz w:val="32"/>
          <w:szCs w:val="32"/>
          <w:highlight w:val="none"/>
          <w:u w:val="none"/>
          <w:lang w:eastAsia="zh-CN"/>
        </w:rPr>
        <w:t>在</w:t>
      </w:r>
      <w:r>
        <w:rPr>
          <w:rFonts w:hint="eastAsia" w:ascii="仿宋_GB2312" w:hAnsi="仿宋_GB2312" w:eastAsia="仿宋_GB2312" w:cs="仿宋_GB2312"/>
          <w:color w:val="auto"/>
          <w:sz w:val="32"/>
          <w:szCs w:val="32"/>
          <w:highlight w:val="none"/>
          <w:u w:val="none"/>
          <w:lang w:val="en-US" w:eastAsia="zh-CN"/>
        </w:rPr>
        <w:t>采购协议履行过程中，如遇国家政策调整等不可抗力，影响采购协议履行的，由采购协议各签订方协商解决。除不可抗的因素造成供应困难外，申报企业应保证在采购周期按照中选价格及时足量保质供应中选产品以及该中选产品对应的所有规格型号，满足广东省医疗机构采购需求。</w:t>
      </w:r>
      <w:r>
        <w:rPr>
          <w:rFonts w:hint="default" w:ascii="Times New Roman" w:hAnsi="Times New Roman" w:eastAsia="仿宋_GB2312" w:cs="Times New Roman"/>
          <w:color w:val="auto"/>
          <w:kern w:val="2"/>
          <w:sz w:val="32"/>
          <w:szCs w:val="32"/>
          <w:highlight w:val="none"/>
          <w:lang w:val="en-US" w:eastAsia="zh-CN" w:bidi="ar-SA"/>
        </w:rPr>
        <w:t>特殊情况下，</w:t>
      </w:r>
      <w:r>
        <w:rPr>
          <w:rFonts w:hint="eastAsia" w:ascii="Times New Roman" w:hAnsi="Times New Roman" w:eastAsia="仿宋_GB2312" w:cs="Times New Roman"/>
          <w:color w:val="auto"/>
          <w:kern w:val="2"/>
          <w:sz w:val="32"/>
          <w:szCs w:val="32"/>
          <w:highlight w:val="none"/>
          <w:lang w:val="en-US" w:eastAsia="zh-CN" w:bidi="ar-SA"/>
        </w:rPr>
        <w:t>如</w:t>
      </w:r>
      <w:r>
        <w:rPr>
          <w:rFonts w:hint="default" w:ascii="Times New Roman" w:hAnsi="Times New Roman" w:eastAsia="仿宋_GB2312" w:cs="Times New Roman"/>
          <w:color w:val="auto"/>
          <w:kern w:val="2"/>
          <w:sz w:val="32"/>
          <w:szCs w:val="32"/>
          <w:highlight w:val="none"/>
          <w:lang w:val="en-US" w:eastAsia="zh-CN" w:bidi="ar-SA"/>
        </w:rPr>
        <w:t>国家有新的价格处置政策要求的，</w:t>
      </w:r>
      <w:r>
        <w:rPr>
          <w:rFonts w:hint="eastAsia" w:ascii="Times New Roman" w:hAnsi="Times New Roman" w:eastAsia="仿宋_GB2312" w:cs="Times New Roman"/>
          <w:color w:val="auto"/>
          <w:kern w:val="2"/>
          <w:sz w:val="32"/>
          <w:szCs w:val="32"/>
          <w:highlight w:val="none"/>
          <w:lang w:val="en-US" w:eastAsia="zh-CN" w:bidi="ar-SA"/>
        </w:rPr>
        <w:t>按相关</w:t>
      </w:r>
      <w:r>
        <w:rPr>
          <w:rFonts w:hint="default" w:ascii="Times New Roman" w:hAnsi="Times New Roman" w:eastAsia="仿宋_GB2312" w:cs="Times New Roman"/>
          <w:color w:val="auto"/>
          <w:kern w:val="2"/>
          <w:sz w:val="32"/>
          <w:szCs w:val="32"/>
          <w:highlight w:val="none"/>
          <w:lang w:val="en-US" w:eastAsia="zh-CN" w:bidi="ar-SA"/>
        </w:rPr>
        <w:t>政策</w:t>
      </w:r>
      <w:r>
        <w:rPr>
          <w:rFonts w:hint="eastAsia" w:ascii="Times New Roman" w:hAnsi="Times New Roman" w:eastAsia="仿宋_GB2312" w:cs="Times New Roman"/>
          <w:color w:val="auto"/>
          <w:kern w:val="2"/>
          <w:sz w:val="32"/>
          <w:szCs w:val="32"/>
          <w:highlight w:val="none"/>
          <w:lang w:val="en-US" w:eastAsia="zh-CN" w:bidi="ar-SA"/>
        </w:rPr>
        <w:t>要求执行</w:t>
      </w:r>
      <w:r>
        <w:rPr>
          <w:rFonts w:hint="default" w:ascii="Times New Roman" w:hAnsi="Times New Roman" w:eastAsia="仿宋_GB2312" w:cs="Times New Roman"/>
          <w:color w:val="auto"/>
          <w:kern w:val="2"/>
          <w:sz w:val="32"/>
          <w:szCs w:val="32"/>
          <w:highlight w:val="none"/>
          <w:lang w:val="en-US" w:eastAsia="zh-CN" w:bidi="ar-SA"/>
        </w:rPr>
        <w:t>。</w:t>
      </w:r>
    </w:p>
    <w:p w14:paraId="53A7DA01">
      <w:pPr>
        <w:keepNext w:val="0"/>
        <w:keepLines w:val="0"/>
        <w:pageBreakBefore w:val="0"/>
        <w:widowControl w:val="0"/>
        <w:kinsoku/>
        <w:wordWrap/>
        <w:topLinePunct w:val="0"/>
        <w:bidi w:val="0"/>
        <w:spacing w:line="560" w:lineRule="exact"/>
        <w:ind w:left="0" w:firstLine="640" w:firstLineChars="200"/>
        <w:jc w:val="both"/>
        <w:textAlignment w:val="auto"/>
        <w:outlineLvl w:val="1"/>
        <w:rPr>
          <w:rFonts w:ascii="黑体" w:hAnsi="黑体" w:eastAsia="黑体" w:cs="黑体"/>
          <w:color w:val="auto"/>
          <w:kern w:val="2"/>
          <w:sz w:val="32"/>
          <w:szCs w:val="32"/>
          <w:highlight w:val="none"/>
          <w:u w:val="none"/>
        </w:rPr>
      </w:pPr>
      <w:bookmarkStart w:id="155" w:name="_Toc18799"/>
      <w:bookmarkStart w:id="156" w:name="_Toc1088"/>
      <w:bookmarkStart w:id="157" w:name="_Toc324"/>
      <w:bookmarkStart w:id="158" w:name="_Toc28225"/>
      <w:bookmarkStart w:id="159" w:name="_Toc7424"/>
      <w:bookmarkStart w:id="160" w:name="_Toc17815"/>
      <w:bookmarkStart w:id="161" w:name="_Toc17218"/>
      <w:bookmarkStart w:id="162" w:name="_Toc13819"/>
      <w:bookmarkStart w:id="163" w:name="_Toc31128"/>
      <w:r>
        <w:rPr>
          <w:rFonts w:hint="eastAsia" w:ascii="黑体" w:hAnsi="黑体" w:eastAsia="黑体" w:cs="黑体"/>
          <w:color w:val="auto"/>
          <w:kern w:val="2"/>
          <w:sz w:val="32"/>
          <w:szCs w:val="32"/>
          <w:highlight w:val="none"/>
          <w:u w:val="none"/>
        </w:rPr>
        <w:t>二、申报材料编制</w:t>
      </w:r>
      <w:bookmarkEnd w:id="155"/>
      <w:bookmarkEnd w:id="156"/>
      <w:bookmarkEnd w:id="157"/>
      <w:bookmarkEnd w:id="158"/>
      <w:bookmarkEnd w:id="159"/>
      <w:bookmarkEnd w:id="160"/>
      <w:bookmarkEnd w:id="161"/>
      <w:bookmarkEnd w:id="162"/>
      <w:bookmarkEnd w:id="163"/>
    </w:p>
    <w:p w14:paraId="75074BA3">
      <w:pPr>
        <w:pStyle w:val="4"/>
        <w:keepNext w:val="0"/>
        <w:keepLines w:val="0"/>
        <w:pageBreakBefore w:val="0"/>
        <w:widowControl w:val="0"/>
        <w:kinsoku/>
        <w:wordWrap/>
        <w:overflowPunct w:val="0"/>
        <w:topLinePunct w:val="0"/>
        <w:bidi w:val="0"/>
        <w:spacing w:line="560" w:lineRule="exact"/>
        <w:ind w:left="0" w:firstLine="643"/>
        <w:jc w:val="both"/>
        <w:textAlignment w:val="auto"/>
        <w:rPr>
          <w:rFonts w:ascii="仿宋" w:hAnsi="仿宋" w:eastAsia="仿宋" w:cs="仿宋"/>
          <w:b w:val="0"/>
          <w:bCs w:val="0"/>
          <w:color w:val="auto"/>
          <w:kern w:val="2"/>
          <w:sz w:val="32"/>
          <w:szCs w:val="32"/>
          <w:highlight w:val="none"/>
          <w:u w:val="none"/>
        </w:rPr>
      </w:pPr>
      <w:bookmarkStart w:id="164" w:name="_Toc30878"/>
      <w:bookmarkStart w:id="165" w:name="_Toc60153413"/>
      <w:bookmarkStart w:id="166" w:name="_Toc20514"/>
      <w:bookmarkStart w:id="167" w:name="_Toc6850"/>
      <w:bookmarkStart w:id="168" w:name="_Toc66869643"/>
      <w:bookmarkStart w:id="169" w:name="_Toc20256"/>
      <w:bookmarkStart w:id="170" w:name="_Toc18022"/>
      <w:bookmarkStart w:id="171" w:name="_Toc12246"/>
      <w:bookmarkStart w:id="172" w:name="_Toc15994"/>
      <w:bookmarkStart w:id="173" w:name="_Toc319"/>
      <w:bookmarkStart w:id="174" w:name="_Toc18047"/>
      <w:bookmarkStart w:id="175" w:name="_Toc727"/>
      <w:bookmarkStart w:id="176" w:name="_Toc26827"/>
      <w:bookmarkStart w:id="177" w:name="_Toc18036"/>
      <w:bookmarkStart w:id="178" w:name="_Toc60676241"/>
      <w:bookmarkStart w:id="179" w:name="_Toc26785"/>
      <w:bookmarkStart w:id="180" w:name="_Toc60045199"/>
      <w:bookmarkStart w:id="181" w:name="_Toc7781"/>
      <w:bookmarkStart w:id="182" w:name="_Toc66806171"/>
      <w:bookmarkStart w:id="183" w:name="_Toc23230"/>
      <w:bookmarkStart w:id="184" w:name="_Toc946"/>
      <w:bookmarkStart w:id="185" w:name="_Toc31129"/>
      <w:bookmarkStart w:id="186" w:name="_Toc10231"/>
      <w:bookmarkStart w:id="187" w:name="_Toc22213"/>
      <w:bookmarkStart w:id="188" w:name="_Toc15552"/>
      <w:bookmarkStart w:id="189" w:name="_Toc27928"/>
      <w:bookmarkStart w:id="190" w:name="_Toc21845"/>
      <w:bookmarkStart w:id="191" w:name="_Toc6953"/>
      <w:bookmarkStart w:id="192" w:name="_Toc29863"/>
      <w:bookmarkStart w:id="193" w:name="_Toc60071926"/>
      <w:bookmarkStart w:id="194" w:name="_Toc25343"/>
      <w:bookmarkStart w:id="195" w:name="_Toc7635"/>
      <w:bookmarkStart w:id="196" w:name="_Toc29450"/>
      <w:bookmarkStart w:id="197" w:name="_Toc7830"/>
      <w:bookmarkStart w:id="198" w:name="_Toc60840574"/>
      <w:bookmarkStart w:id="199" w:name="_Toc6993"/>
      <w:bookmarkStart w:id="200" w:name="_Toc60316404"/>
      <w:r>
        <w:rPr>
          <w:rFonts w:hint="eastAsia" w:ascii="楷体_GB2312" w:hAnsi="楷体_GB2312" w:eastAsia="楷体_GB2312" w:cs="楷体_GB2312"/>
          <w:b w:val="0"/>
          <w:bCs w:val="0"/>
          <w:color w:val="auto"/>
          <w:sz w:val="32"/>
          <w:szCs w:val="32"/>
          <w:highlight w:val="none"/>
          <w:u w:val="none"/>
        </w:rPr>
        <w:t>（一）编制要求</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5DBD5C8D">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rPr>
      </w:pPr>
      <w:r>
        <w:rPr>
          <w:rFonts w:hint="eastAsia" w:ascii="仿宋_GB2312" w:hAnsi="仿宋_GB2312" w:eastAsia="仿宋_GB2312" w:cs="仿宋_GB2312"/>
          <w:color w:val="auto"/>
          <w:kern w:val="2"/>
          <w:sz w:val="32"/>
          <w:szCs w:val="32"/>
          <w:highlight w:val="none"/>
          <w:u w:val="none"/>
        </w:rPr>
        <w:t>申报企业应仔细阅读本采购文件全部内容，按采购文件的要求提供申报材料，并保证所提供的全部材料真实有效。申报材料涉及有效期限的，</w:t>
      </w:r>
      <w:r>
        <w:rPr>
          <w:rFonts w:hint="eastAsia" w:ascii="仿宋_GB2312" w:hAnsi="仿宋_GB2312" w:eastAsia="仿宋_GB2312" w:cs="仿宋_GB2312"/>
          <w:color w:val="auto"/>
          <w:kern w:val="2"/>
          <w:sz w:val="32"/>
          <w:szCs w:val="32"/>
          <w:highlight w:val="none"/>
        </w:rPr>
        <w:t>必须在</w:t>
      </w:r>
      <w:r>
        <w:rPr>
          <w:rFonts w:hint="eastAsia" w:ascii="仿宋_GB2312" w:hAnsi="仿宋_GB2312" w:eastAsia="仿宋_GB2312" w:cs="仿宋_GB2312"/>
          <w:color w:val="auto"/>
          <w:kern w:val="2"/>
          <w:sz w:val="32"/>
          <w:szCs w:val="32"/>
          <w:highlight w:val="none"/>
          <w:lang w:val="en-US" w:eastAsia="zh-CN"/>
        </w:rPr>
        <w:t>报名</w:t>
      </w:r>
      <w:r>
        <w:rPr>
          <w:rFonts w:hint="eastAsia" w:ascii="仿宋_GB2312" w:hAnsi="仿宋_GB2312" w:eastAsia="仿宋_GB2312" w:cs="仿宋_GB2312"/>
          <w:color w:val="auto"/>
          <w:kern w:val="2"/>
          <w:sz w:val="32"/>
          <w:szCs w:val="32"/>
          <w:highlight w:val="none"/>
        </w:rPr>
        <w:t>截止之日仍在有效期内。</w:t>
      </w:r>
      <w:r>
        <w:rPr>
          <w:rFonts w:hint="eastAsia" w:ascii="仿宋_GB2312" w:hAnsi="仿宋_GB2312" w:eastAsia="仿宋_GB2312" w:cs="仿宋_GB2312"/>
          <w:color w:val="auto"/>
          <w:kern w:val="2"/>
          <w:sz w:val="32"/>
          <w:szCs w:val="32"/>
          <w:highlight w:val="none"/>
          <w:u w:val="none"/>
        </w:rPr>
        <w:t>如果由于申报企业没有按照采购文件的要求提交完整材料，或者提交的申报材料没有对采购文件作出实质性响应、申报材料内容不实等原因影响中选结果的，后果由申报企业自行负责。</w:t>
      </w:r>
    </w:p>
    <w:p w14:paraId="3C69218B">
      <w:pPr>
        <w:keepNext w:val="0"/>
        <w:keepLines w:val="0"/>
        <w:pageBreakBefore w:val="0"/>
        <w:widowControl w:val="0"/>
        <w:kinsoku/>
        <w:wordWrap/>
        <w:topLinePunct w:val="0"/>
        <w:bidi w:val="0"/>
        <w:adjustRightInd w:val="0"/>
        <w:snapToGrid w:val="0"/>
        <w:spacing w:line="560" w:lineRule="exact"/>
        <w:ind w:left="0" w:firstLine="640" w:firstLineChars="200"/>
        <w:jc w:val="both"/>
        <w:textAlignment w:val="auto"/>
        <w:outlineLvl w:val="2"/>
        <w:rPr>
          <w:rFonts w:ascii="楷体_GB2312" w:hAnsi="楷体_GB2312" w:eastAsia="楷体_GB2312" w:cs="楷体_GB2312"/>
          <w:b w:val="0"/>
          <w:bCs w:val="0"/>
          <w:color w:val="auto"/>
          <w:sz w:val="32"/>
          <w:szCs w:val="32"/>
          <w:highlight w:val="none"/>
          <w:u w:val="none"/>
        </w:rPr>
      </w:pPr>
      <w:bookmarkStart w:id="201" w:name="_Toc60153414"/>
      <w:bookmarkStart w:id="202" w:name="_Toc2650"/>
      <w:bookmarkStart w:id="203" w:name="_Toc22068"/>
      <w:bookmarkStart w:id="204" w:name="_Toc2714"/>
      <w:bookmarkStart w:id="205" w:name="_Toc60316405"/>
      <w:bookmarkStart w:id="206" w:name="_Toc6687"/>
      <w:bookmarkStart w:id="207" w:name="_Toc60045200"/>
      <w:bookmarkStart w:id="208" w:name="_Toc21839"/>
      <w:bookmarkStart w:id="209" w:name="_Toc5749"/>
      <w:bookmarkStart w:id="210" w:name="_Toc20020"/>
      <w:bookmarkStart w:id="211" w:name="_Toc26902"/>
      <w:bookmarkStart w:id="212" w:name="_Toc3171"/>
      <w:bookmarkStart w:id="213" w:name="_Toc32381"/>
      <w:bookmarkStart w:id="214" w:name="_Toc1436"/>
      <w:bookmarkStart w:id="215" w:name="_Toc21401"/>
      <w:bookmarkStart w:id="216" w:name="_Toc60676242"/>
      <w:bookmarkStart w:id="217" w:name="_Toc5387"/>
      <w:bookmarkStart w:id="218" w:name="_Toc66806172"/>
      <w:bookmarkStart w:id="219" w:name="_Toc60071927"/>
      <w:bookmarkStart w:id="220" w:name="_Toc66869644"/>
      <w:bookmarkStart w:id="221" w:name="_Toc5062"/>
      <w:bookmarkStart w:id="222" w:name="_Toc31925"/>
      <w:bookmarkStart w:id="223" w:name="_Toc4762"/>
      <w:bookmarkStart w:id="224" w:name="_Toc4303"/>
      <w:bookmarkStart w:id="225" w:name="_Toc25389"/>
      <w:bookmarkStart w:id="226" w:name="_Toc25782"/>
      <w:bookmarkStart w:id="227" w:name="_Toc16333"/>
      <w:bookmarkStart w:id="228" w:name="_Toc8359"/>
      <w:bookmarkStart w:id="229" w:name="_Toc25765"/>
      <w:bookmarkStart w:id="230" w:name="_Toc13853"/>
      <w:bookmarkStart w:id="231" w:name="_Toc23172"/>
      <w:bookmarkStart w:id="232" w:name="_Toc60840575"/>
      <w:bookmarkStart w:id="233" w:name="_Toc27122"/>
      <w:bookmarkStart w:id="234" w:name="_Toc26144"/>
      <w:bookmarkStart w:id="235" w:name="_Toc3538"/>
      <w:bookmarkStart w:id="236" w:name="_Toc31066"/>
      <w:bookmarkStart w:id="237" w:name="_Toc30250"/>
      <w:r>
        <w:rPr>
          <w:rFonts w:hint="eastAsia" w:ascii="楷体_GB2312" w:hAnsi="楷体_GB2312" w:eastAsia="楷体_GB2312" w:cs="楷体_GB2312"/>
          <w:b w:val="0"/>
          <w:bCs w:val="0"/>
          <w:color w:val="auto"/>
          <w:sz w:val="32"/>
          <w:szCs w:val="32"/>
          <w:highlight w:val="none"/>
          <w:u w:val="none"/>
        </w:rPr>
        <w:t>（二）申报语言、计量单位和医用耗材名称、医用耗材规格型号表示</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45234BF0">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rPr>
      </w:pPr>
      <w:r>
        <w:rPr>
          <w:rFonts w:hint="eastAsia" w:ascii="仿宋_GB2312" w:hAnsi="仿宋_GB2312" w:eastAsia="仿宋_GB2312" w:cs="仿宋_GB2312"/>
          <w:color w:val="auto"/>
          <w:kern w:val="2"/>
          <w:sz w:val="32"/>
          <w:szCs w:val="32"/>
          <w:highlight w:val="none"/>
          <w:u w:val="none"/>
        </w:rPr>
        <w:t>1.申报企业与</w:t>
      </w:r>
      <w:r>
        <w:rPr>
          <w:rFonts w:hint="eastAsia" w:ascii="仿宋_GB2312" w:hAnsi="仿宋_GB2312" w:eastAsia="仿宋_GB2312" w:cs="仿宋_GB2312"/>
          <w:color w:val="auto"/>
          <w:kern w:val="2"/>
          <w:sz w:val="32"/>
          <w:szCs w:val="32"/>
          <w:highlight w:val="none"/>
          <w:u w:val="none"/>
          <w:lang w:eastAsia="zh-CN"/>
        </w:rPr>
        <w:t>深圳交易中心</w:t>
      </w:r>
      <w:r>
        <w:rPr>
          <w:rFonts w:hint="eastAsia" w:ascii="仿宋_GB2312" w:hAnsi="仿宋_GB2312" w:eastAsia="仿宋_GB2312" w:cs="仿宋_GB2312"/>
          <w:color w:val="auto"/>
          <w:kern w:val="2"/>
          <w:sz w:val="32"/>
          <w:szCs w:val="32"/>
          <w:highlight w:val="none"/>
          <w:u w:val="none"/>
        </w:rPr>
        <w:t>就申报</w:t>
      </w:r>
      <w:r>
        <w:rPr>
          <w:rFonts w:hint="eastAsia" w:ascii="仿宋_GB2312" w:hAnsi="仿宋_GB2312" w:eastAsia="仿宋_GB2312" w:cs="仿宋_GB2312"/>
          <w:color w:val="auto"/>
          <w:kern w:val="2"/>
          <w:sz w:val="32"/>
          <w:szCs w:val="32"/>
          <w:highlight w:val="none"/>
          <w:u w:val="none"/>
          <w:lang w:val="en-US" w:eastAsia="zh-CN"/>
        </w:rPr>
        <w:t>提交</w:t>
      </w:r>
      <w:r>
        <w:rPr>
          <w:rFonts w:hint="eastAsia" w:ascii="仿宋_GB2312" w:hAnsi="仿宋_GB2312" w:eastAsia="仿宋_GB2312" w:cs="仿宋_GB2312"/>
          <w:color w:val="auto"/>
          <w:kern w:val="2"/>
          <w:sz w:val="32"/>
          <w:szCs w:val="32"/>
          <w:highlight w:val="none"/>
          <w:u w:val="none"/>
        </w:rPr>
        <w:t>的材料、交换的文件和来往信件，一律以中文书写。企业提供的相关资料为外文的，应附中文翻译，因翻译错误或有歧义等原因，影响中选结果的，由申报企业自行负责。</w:t>
      </w:r>
    </w:p>
    <w:p w14:paraId="1FEA920F">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rPr>
      </w:pPr>
      <w:r>
        <w:rPr>
          <w:rFonts w:hint="eastAsia" w:ascii="仿宋_GB2312" w:hAnsi="仿宋_GB2312" w:eastAsia="仿宋_GB2312" w:cs="仿宋_GB2312"/>
          <w:color w:val="auto"/>
          <w:kern w:val="2"/>
          <w:sz w:val="32"/>
          <w:szCs w:val="32"/>
          <w:highlight w:val="none"/>
          <w:u w:val="none"/>
        </w:rPr>
        <w:t>2.除申报材料中对技术规格另有规定外，应使用中华人民共和国法定计量单位和有关部门规定的</w:t>
      </w:r>
      <w:r>
        <w:rPr>
          <w:rFonts w:hint="eastAsia" w:ascii="仿宋_GB2312" w:hAnsi="仿宋_GB2312" w:eastAsia="仿宋_GB2312" w:cs="仿宋_GB2312"/>
          <w:color w:val="auto"/>
          <w:kern w:val="2"/>
          <w:sz w:val="32"/>
          <w:szCs w:val="32"/>
          <w:highlight w:val="none"/>
          <w:u w:val="none"/>
          <w:lang w:val="en-US" w:eastAsia="zh-CN"/>
        </w:rPr>
        <w:t>医用</w:t>
      </w:r>
      <w:r>
        <w:rPr>
          <w:rFonts w:hint="eastAsia" w:ascii="仿宋_GB2312" w:hAnsi="仿宋_GB2312" w:eastAsia="仿宋_GB2312" w:cs="仿宋_GB2312"/>
          <w:color w:val="auto"/>
          <w:kern w:val="2"/>
          <w:sz w:val="32"/>
          <w:szCs w:val="32"/>
          <w:highlight w:val="none"/>
          <w:u w:val="none"/>
        </w:rPr>
        <w:t>耗材名称、</w:t>
      </w:r>
      <w:r>
        <w:rPr>
          <w:rFonts w:hint="eastAsia" w:ascii="仿宋_GB2312" w:hAnsi="仿宋_GB2312" w:eastAsia="仿宋_GB2312" w:cs="仿宋_GB2312"/>
          <w:color w:val="auto"/>
          <w:kern w:val="2"/>
          <w:sz w:val="32"/>
          <w:szCs w:val="32"/>
          <w:highlight w:val="none"/>
          <w:u w:val="none"/>
          <w:lang w:val="en-US" w:eastAsia="zh-CN"/>
        </w:rPr>
        <w:t>医用</w:t>
      </w:r>
      <w:r>
        <w:rPr>
          <w:rFonts w:hint="eastAsia" w:ascii="仿宋_GB2312" w:hAnsi="仿宋_GB2312" w:eastAsia="仿宋_GB2312" w:cs="仿宋_GB2312"/>
          <w:color w:val="auto"/>
          <w:kern w:val="2"/>
          <w:sz w:val="32"/>
          <w:szCs w:val="32"/>
          <w:highlight w:val="none"/>
          <w:u w:val="none"/>
        </w:rPr>
        <w:t>耗材规格型号表示方法。</w:t>
      </w:r>
      <w:bookmarkStart w:id="238" w:name="_Toc21482"/>
      <w:bookmarkStart w:id="239" w:name="_Toc16103"/>
      <w:bookmarkStart w:id="240" w:name="_Toc60840576"/>
      <w:bookmarkStart w:id="241" w:name="_Toc60045201"/>
      <w:bookmarkStart w:id="242" w:name="_Toc66869645"/>
      <w:bookmarkStart w:id="243" w:name="_Toc60071928"/>
      <w:bookmarkStart w:id="244" w:name="_Toc60676243"/>
      <w:bookmarkStart w:id="245" w:name="_Toc60153415"/>
      <w:bookmarkStart w:id="246" w:name="_Toc23216"/>
      <w:bookmarkStart w:id="247" w:name="_Toc16533"/>
      <w:bookmarkStart w:id="248" w:name="_Toc66806173"/>
      <w:bookmarkStart w:id="249" w:name="_Toc60316406"/>
    </w:p>
    <w:bookmarkEnd w:id="238"/>
    <w:bookmarkEnd w:id="239"/>
    <w:bookmarkEnd w:id="240"/>
    <w:bookmarkEnd w:id="241"/>
    <w:bookmarkEnd w:id="242"/>
    <w:bookmarkEnd w:id="243"/>
    <w:bookmarkEnd w:id="244"/>
    <w:bookmarkEnd w:id="245"/>
    <w:bookmarkEnd w:id="246"/>
    <w:bookmarkEnd w:id="247"/>
    <w:bookmarkEnd w:id="248"/>
    <w:bookmarkEnd w:id="249"/>
    <w:p w14:paraId="13B602A9">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outlineLvl w:val="2"/>
        <w:rPr>
          <w:rFonts w:ascii="仿宋" w:hAnsi="仿宋" w:eastAsia="仿宋" w:cs="仿宋"/>
          <w:b w:val="0"/>
          <w:bCs w:val="0"/>
          <w:color w:val="auto"/>
          <w:sz w:val="32"/>
          <w:szCs w:val="32"/>
          <w:highlight w:val="none"/>
          <w:u w:val="none"/>
        </w:rPr>
      </w:pPr>
      <w:bookmarkStart w:id="250" w:name="_Toc24442"/>
      <w:bookmarkStart w:id="251" w:name="_Toc18292"/>
      <w:bookmarkStart w:id="252" w:name="_Toc30969"/>
      <w:bookmarkStart w:id="253" w:name="_Toc14133"/>
      <w:bookmarkStart w:id="254" w:name="_Toc25931"/>
      <w:bookmarkStart w:id="255" w:name="_Toc28009"/>
      <w:bookmarkStart w:id="256" w:name="_Toc26205"/>
      <w:bookmarkStart w:id="257" w:name="_Toc29283"/>
      <w:bookmarkStart w:id="258" w:name="_Toc24580"/>
      <w:bookmarkStart w:id="259" w:name="_Toc10959"/>
      <w:bookmarkStart w:id="260" w:name="_Toc5384"/>
      <w:bookmarkStart w:id="261" w:name="_Toc18403"/>
      <w:bookmarkStart w:id="262" w:name="_Toc23881"/>
      <w:bookmarkStart w:id="263" w:name="_Toc14406"/>
      <w:bookmarkStart w:id="264" w:name="_Toc19809"/>
      <w:bookmarkStart w:id="265" w:name="_Toc5304"/>
      <w:bookmarkStart w:id="266" w:name="_Toc8029"/>
      <w:bookmarkStart w:id="267" w:name="_Toc2183"/>
      <w:bookmarkStart w:id="268" w:name="_Toc7019"/>
      <w:bookmarkStart w:id="269" w:name="_Toc6930"/>
      <w:bookmarkStart w:id="270" w:name="_Toc19378"/>
      <w:bookmarkStart w:id="271" w:name="_Toc1977"/>
      <w:bookmarkStart w:id="272" w:name="_Toc31308"/>
      <w:bookmarkStart w:id="273" w:name="_Toc11340"/>
      <w:bookmarkStart w:id="274" w:name="_Toc16956"/>
      <w:r>
        <w:rPr>
          <w:rFonts w:hint="eastAsia" w:ascii="楷体_GB2312" w:hAnsi="楷体_GB2312" w:eastAsia="楷体_GB2312" w:cs="楷体_GB2312"/>
          <w:b w:val="0"/>
          <w:bCs w:val="0"/>
          <w:color w:val="auto"/>
          <w:sz w:val="32"/>
          <w:szCs w:val="32"/>
          <w:highlight w:val="none"/>
          <w:u w:val="none"/>
        </w:rPr>
        <w:t>（</w:t>
      </w:r>
      <w:r>
        <w:rPr>
          <w:rFonts w:hint="eastAsia" w:ascii="楷体_GB2312" w:hAnsi="楷体_GB2312" w:eastAsia="楷体_GB2312" w:cs="楷体_GB2312"/>
          <w:b w:val="0"/>
          <w:bCs w:val="0"/>
          <w:color w:val="auto"/>
          <w:sz w:val="32"/>
          <w:szCs w:val="32"/>
          <w:highlight w:val="none"/>
          <w:u w:val="none"/>
          <w:lang w:eastAsia="zh-CN"/>
        </w:rPr>
        <w:t>三</w:t>
      </w:r>
      <w:r>
        <w:rPr>
          <w:rFonts w:hint="eastAsia" w:ascii="楷体_GB2312" w:hAnsi="楷体_GB2312" w:eastAsia="楷体_GB2312" w:cs="楷体_GB2312"/>
          <w:b w:val="0"/>
          <w:bCs w:val="0"/>
          <w:color w:val="auto"/>
          <w:sz w:val="32"/>
          <w:szCs w:val="32"/>
          <w:highlight w:val="none"/>
          <w:u w:val="none"/>
        </w:rPr>
        <w:t>）申报材料的式样和签署</w:t>
      </w:r>
      <w:bookmarkEnd w:id="250"/>
      <w:bookmarkEnd w:id="251"/>
      <w:bookmarkEnd w:id="252"/>
      <w:bookmarkEnd w:id="253"/>
    </w:p>
    <w:p w14:paraId="482D899F">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1.申报材料须打印或用不褪色书写工具书写，</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加盖申报企业公章后按要求</w:t>
      </w:r>
      <w:r>
        <w:rPr>
          <w:rFonts w:hint="eastAsia" w:ascii="仿宋_GB2312" w:hAnsi="仿宋_GB2312" w:eastAsia="仿宋_GB2312" w:cs="仿宋_GB2312"/>
          <w:color w:val="auto"/>
          <w:sz w:val="32"/>
          <w:szCs w:val="32"/>
          <w:highlight w:val="none"/>
          <w:lang w:val="en-US" w:eastAsia="zh-CN"/>
        </w:rPr>
        <w:t>扫描为PDF通过深圳阳光平台提交</w:t>
      </w:r>
      <w:r>
        <w:rPr>
          <w:rFonts w:hint="eastAsia" w:ascii="仿宋_GB2312" w:hAnsi="仿宋_GB2312" w:eastAsia="仿宋_GB2312" w:cs="仿宋_GB2312"/>
          <w:color w:val="auto"/>
          <w:sz w:val="32"/>
          <w:szCs w:val="32"/>
          <w:highlight w:val="none"/>
        </w:rPr>
        <w:t>。</w:t>
      </w:r>
    </w:p>
    <w:p w14:paraId="1C016AC3">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rPr>
        <w:t>2.申报企业除对笔误等作勘误外，不得行间插字、涂改或增删，如有修改错漏处，必须由申报企业法定代表人或者申报企业被授权人签字或加盖申报企业公章</w:t>
      </w:r>
      <w:r>
        <w:rPr>
          <w:rFonts w:hint="eastAsia" w:ascii="仿宋_GB2312" w:hAnsi="仿宋_GB2312" w:eastAsia="仿宋_GB2312" w:cs="仿宋_GB2312"/>
          <w:color w:val="auto"/>
          <w:sz w:val="32"/>
          <w:szCs w:val="32"/>
          <w:highlight w:val="none"/>
          <w:u w:val="none"/>
        </w:rPr>
        <w:t>。</w:t>
      </w:r>
    </w:p>
    <w:p w14:paraId="36CBD195">
      <w:pPr>
        <w:keepNext w:val="0"/>
        <w:keepLines w:val="0"/>
        <w:pageBreakBefore w:val="0"/>
        <w:widowControl w:val="0"/>
        <w:kinsoku/>
        <w:wordWrap/>
        <w:topLinePunct w:val="0"/>
        <w:bidi w:val="0"/>
        <w:adjustRightInd w:val="0"/>
        <w:snapToGrid w:val="0"/>
        <w:spacing w:line="560" w:lineRule="exact"/>
        <w:ind w:left="0" w:firstLine="640" w:firstLineChars="200"/>
        <w:jc w:val="both"/>
        <w:textAlignment w:val="auto"/>
        <w:outlineLvl w:val="2"/>
        <w:rPr>
          <w:rFonts w:ascii="楷体_GB2312" w:hAnsi="楷体_GB2312" w:eastAsia="楷体_GB2312" w:cs="楷体_GB2312"/>
          <w:b w:val="0"/>
          <w:bCs w:val="0"/>
          <w:color w:val="auto"/>
          <w:sz w:val="32"/>
          <w:szCs w:val="32"/>
          <w:highlight w:val="none"/>
          <w:u w:val="none"/>
        </w:rPr>
      </w:pPr>
      <w:bookmarkStart w:id="275" w:name="_Toc30774"/>
      <w:bookmarkStart w:id="276" w:name="_Toc26298"/>
      <w:bookmarkStart w:id="277" w:name="_Toc2504"/>
      <w:bookmarkStart w:id="278" w:name="_Toc9446"/>
      <w:r>
        <w:rPr>
          <w:rFonts w:hint="eastAsia" w:ascii="楷体_GB2312" w:hAnsi="楷体_GB2312" w:eastAsia="楷体_GB2312" w:cs="楷体_GB2312"/>
          <w:b w:val="0"/>
          <w:bCs w:val="0"/>
          <w:color w:val="auto"/>
          <w:sz w:val="32"/>
          <w:szCs w:val="32"/>
          <w:highlight w:val="none"/>
          <w:u w:val="none"/>
        </w:rPr>
        <w:t>（</w:t>
      </w:r>
      <w:r>
        <w:rPr>
          <w:rFonts w:hint="eastAsia" w:ascii="楷体_GB2312" w:hAnsi="楷体_GB2312" w:eastAsia="楷体_GB2312" w:cs="楷体_GB2312"/>
          <w:b w:val="0"/>
          <w:bCs w:val="0"/>
          <w:color w:val="auto"/>
          <w:sz w:val="32"/>
          <w:szCs w:val="32"/>
          <w:highlight w:val="none"/>
          <w:u w:val="none"/>
          <w:lang w:eastAsia="zh-CN"/>
        </w:rPr>
        <w:t>四</w:t>
      </w:r>
      <w:r>
        <w:rPr>
          <w:rFonts w:hint="eastAsia" w:ascii="楷体_GB2312" w:hAnsi="楷体_GB2312" w:eastAsia="楷体_GB2312" w:cs="楷体_GB2312"/>
          <w:b w:val="0"/>
          <w:bCs w:val="0"/>
          <w:color w:val="auto"/>
          <w:sz w:val="32"/>
          <w:szCs w:val="32"/>
          <w:highlight w:val="none"/>
          <w:u w:val="none"/>
        </w:rPr>
        <w:t>）</w:t>
      </w:r>
      <w:bookmarkEnd w:id="254"/>
      <w:bookmarkEnd w:id="255"/>
      <w:bookmarkEnd w:id="256"/>
      <w:bookmarkEnd w:id="257"/>
      <w:bookmarkEnd w:id="258"/>
      <w:bookmarkEnd w:id="259"/>
      <w:bookmarkEnd w:id="260"/>
      <w:bookmarkEnd w:id="261"/>
      <w:bookmarkEnd w:id="262"/>
      <w:bookmarkEnd w:id="263"/>
      <w:bookmarkEnd w:id="264"/>
      <w:bookmarkEnd w:id="265"/>
      <w:bookmarkEnd w:id="266"/>
      <w:r>
        <w:rPr>
          <w:rFonts w:hint="eastAsia" w:ascii="楷体_GB2312" w:hAnsi="楷体_GB2312" w:eastAsia="楷体_GB2312" w:cs="楷体_GB2312"/>
          <w:b w:val="0"/>
          <w:bCs w:val="0"/>
          <w:color w:val="auto"/>
          <w:sz w:val="32"/>
          <w:szCs w:val="32"/>
          <w:highlight w:val="none"/>
        </w:rPr>
        <w:t>申报材料的构成</w:t>
      </w:r>
      <w:bookmarkEnd w:id="267"/>
      <w:bookmarkEnd w:id="268"/>
      <w:bookmarkEnd w:id="269"/>
      <w:bookmarkEnd w:id="270"/>
      <w:bookmarkEnd w:id="271"/>
      <w:bookmarkEnd w:id="272"/>
      <w:bookmarkEnd w:id="273"/>
      <w:bookmarkEnd w:id="274"/>
      <w:bookmarkEnd w:id="275"/>
      <w:bookmarkEnd w:id="276"/>
      <w:bookmarkEnd w:id="277"/>
      <w:bookmarkEnd w:id="278"/>
    </w:p>
    <w:bookmarkEnd w:id="86"/>
    <w:p w14:paraId="7BA98688">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rPr>
      </w:pPr>
      <w:bookmarkStart w:id="279" w:name="_Toc8274"/>
      <w:bookmarkStart w:id="280" w:name="_Toc1010"/>
      <w:bookmarkStart w:id="281" w:name="_Toc4428"/>
      <w:bookmarkStart w:id="282" w:name="_Toc29698"/>
      <w:bookmarkStart w:id="283" w:name="_Toc31572"/>
      <w:bookmarkStart w:id="284" w:name="_Toc759"/>
      <w:bookmarkStart w:id="285" w:name="_Toc2620"/>
      <w:bookmarkStart w:id="286" w:name="_Toc23908"/>
      <w:bookmarkStart w:id="287" w:name="_Toc3419"/>
      <w:r>
        <w:rPr>
          <w:rFonts w:hint="eastAsia" w:ascii="仿宋_GB2312" w:hAnsi="仿宋_GB2312" w:eastAsia="仿宋_GB2312" w:cs="仿宋_GB2312"/>
          <w:color w:val="auto"/>
          <w:kern w:val="2"/>
          <w:sz w:val="32"/>
          <w:szCs w:val="32"/>
          <w:highlight w:val="none"/>
          <w:u w:val="none"/>
          <w:lang w:val="en-US" w:eastAsia="zh-CN"/>
        </w:rPr>
        <w:t>申报企业须在规定的报名时间内按照采购文件中提供的申报材料格式，通过深圳阳光平台线上提交以下申报材料（每页均需加盖企业公章）：</w:t>
      </w:r>
    </w:p>
    <w:p w14:paraId="00600D75">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rPr>
      </w:pPr>
      <w:r>
        <w:rPr>
          <w:rFonts w:hint="eastAsia" w:ascii="仿宋_GB2312" w:hAnsi="仿宋_GB2312" w:eastAsia="仿宋_GB2312" w:cs="仿宋_GB2312"/>
          <w:color w:val="auto"/>
          <w:kern w:val="2"/>
          <w:sz w:val="32"/>
          <w:szCs w:val="32"/>
          <w:highlight w:val="none"/>
          <w:u w:val="none"/>
        </w:rPr>
        <w:t>1.《广东省血流导向密网支架类医用耗材带量联动采购申报函》（格式见附件</w:t>
      </w:r>
      <w:r>
        <w:rPr>
          <w:rFonts w:hint="eastAsia" w:ascii="仿宋_GB2312" w:hAnsi="仿宋_GB2312" w:eastAsia="仿宋_GB2312" w:cs="仿宋_GB2312"/>
          <w:color w:val="auto"/>
          <w:kern w:val="2"/>
          <w:sz w:val="32"/>
          <w:szCs w:val="32"/>
          <w:highlight w:val="none"/>
          <w:u w:val="none"/>
          <w:lang w:val="en-US" w:eastAsia="zh-CN"/>
        </w:rPr>
        <w:t>3</w:t>
      </w:r>
      <w:r>
        <w:rPr>
          <w:rFonts w:hint="eastAsia" w:ascii="仿宋_GB2312" w:hAnsi="仿宋_GB2312" w:eastAsia="仿宋_GB2312" w:cs="仿宋_GB2312"/>
          <w:color w:val="auto"/>
          <w:kern w:val="2"/>
          <w:sz w:val="32"/>
          <w:szCs w:val="32"/>
          <w:highlight w:val="none"/>
          <w:u w:val="none"/>
        </w:rPr>
        <w:t>）。</w:t>
      </w:r>
    </w:p>
    <w:p w14:paraId="6ACC445D">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rPr>
      </w:pPr>
      <w:r>
        <w:rPr>
          <w:rFonts w:hint="eastAsia" w:ascii="仿宋_GB2312" w:hAnsi="仿宋_GB2312" w:eastAsia="仿宋_GB2312" w:cs="仿宋_GB2312"/>
          <w:color w:val="auto"/>
          <w:kern w:val="2"/>
          <w:sz w:val="32"/>
          <w:szCs w:val="32"/>
          <w:highlight w:val="none"/>
          <w:u w:val="none"/>
        </w:rPr>
        <w:t>2.《医药企业价格和营销行为信用承诺书》（格式见附件</w:t>
      </w:r>
      <w:r>
        <w:rPr>
          <w:rFonts w:hint="eastAsia" w:ascii="仿宋_GB2312" w:hAnsi="仿宋_GB2312" w:eastAsia="仿宋_GB2312" w:cs="仿宋_GB2312"/>
          <w:color w:val="auto"/>
          <w:kern w:val="2"/>
          <w:sz w:val="32"/>
          <w:szCs w:val="32"/>
          <w:highlight w:val="none"/>
          <w:u w:val="none"/>
          <w:lang w:val="en-US" w:eastAsia="zh-CN"/>
        </w:rPr>
        <w:t>4</w:t>
      </w:r>
      <w:r>
        <w:rPr>
          <w:rFonts w:hint="eastAsia" w:ascii="仿宋_GB2312" w:hAnsi="仿宋_GB2312" w:eastAsia="仿宋_GB2312" w:cs="仿宋_GB2312"/>
          <w:color w:val="auto"/>
          <w:kern w:val="2"/>
          <w:sz w:val="32"/>
          <w:szCs w:val="32"/>
          <w:highlight w:val="none"/>
          <w:u w:val="none"/>
        </w:rPr>
        <w:t>）</w:t>
      </w:r>
      <w:r>
        <w:rPr>
          <w:rFonts w:hint="eastAsia" w:ascii="仿宋_GB2312" w:hAnsi="仿宋_GB2312" w:eastAsia="仿宋_GB2312" w:cs="仿宋_GB2312"/>
          <w:color w:val="auto"/>
          <w:kern w:val="2"/>
          <w:sz w:val="32"/>
          <w:szCs w:val="32"/>
          <w:highlight w:val="none"/>
          <w:u w:val="none"/>
          <w:lang w:val="en-US" w:eastAsia="zh-CN"/>
        </w:rPr>
        <w:t>。</w:t>
      </w:r>
    </w:p>
    <w:p w14:paraId="6C24A1EE">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rPr>
      </w:pPr>
      <w:r>
        <w:rPr>
          <w:rFonts w:hint="eastAsia" w:ascii="仿宋_GB2312" w:hAnsi="仿宋_GB2312" w:eastAsia="仿宋_GB2312" w:cs="仿宋_GB2312"/>
          <w:color w:val="auto"/>
          <w:kern w:val="2"/>
          <w:sz w:val="32"/>
          <w:szCs w:val="32"/>
          <w:highlight w:val="none"/>
          <w:u w:val="none"/>
          <w:lang w:val="en-US" w:eastAsia="zh-CN"/>
        </w:rPr>
        <w:t>3.企业和申报产品的相关资质材料（以企业报名提交的材料为准）。</w:t>
      </w:r>
    </w:p>
    <w:p w14:paraId="2B3039A6">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color w:val="auto"/>
          <w:kern w:val="2"/>
          <w:sz w:val="32"/>
          <w:szCs w:val="32"/>
          <w:highlight w:val="none"/>
          <w:u w:val="none"/>
          <w:lang w:val="en-US" w:eastAsia="zh-CN"/>
        </w:rPr>
      </w:pPr>
      <w:r>
        <w:rPr>
          <w:rFonts w:hint="eastAsia" w:ascii="仿宋_GB2312" w:hAnsi="仿宋_GB2312" w:eastAsia="仿宋_GB2312" w:cs="仿宋_GB2312"/>
          <w:color w:val="auto"/>
          <w:kern w:val="2"/>
          <w:sz w:val="32"/>
          <w:szCs w:val="32"/>
          <w:highlight w:val="none"/>
          <w:u w:val="none"/>
          <w:lang w:val="en-US" w:eastAsia="zh-CN"/>
        </w:rPr>
        <w:t>4.申报产品相关价格信息的证明材料（相关要求另行通知）。</w:t>
      </w:r>
    </w:p>
    <w:p w14:paraId="384EF1A3">
      <w:pPr>
        <w:keepNext w:val="0"/>
        <w:keepLines w:val="0"/>
        <w:pageBreakBefore w:val="0"/>
        <w:widowControl w:val="0"/>
        <w:kinsoku/>
        <w:wordWrap/>
        <w:topLinePunct w:val="0"/>
        <w:bidi w:val="0"/>
        <w:adjustRightInd w:val="0"/>
        <w:snapToGrid w:val="0"/>
        <w:spacing w:line="560" w:lineRule="exact"/>
        <w:ind w:left="0" w:firstLine="640" w:firstLineChars="200"/>
        <w:jc w:val="both"/>
        <w:textAlignment w:val="auto"/>
        <w:outlineLvl w:val="2"/>
        <w:rPr>
          <w:rFonts w:hint="eastAsia" w:ascii="楷体_GB2312" w:hAnsi="楷体_GB2312" w:eastAsia="楷体_GB2312" w:cs="楷体_GB2312"/>
          <w:b w:val="0"/>
          <w:bCs w:val="0"/>
          <w:color w:val="auto"/>
          <w:sz w:val="32"/>
          <w:szCs w:val="32"/>
          <w:highlight w:val="none"/>
          <w:u w:val="none"/>
          <w:lang w:val="en-US" w:eastAsia="zh-CN"/>
        </w:rPr>
      </w:pPr>
      <w:bookmarkStart w:id="288" w:name="_Toc3960"/>
      <w:bookmarkStart w:id="289" w:name="_Toc18087"/>
      <w:bookmarkStart w:id="290" w:name="_Toc13282"/>
      <w:r>
        <w:rPr>
          <w:rFonts w:hint="eastAsia" w:ascii="楷体_GB2312" w:hAnsi="楷体_GB2312" w:eastAsia="楷体_GB2312" w:cs="楷体_GB2312"/>
          <w:b w:val="0"/>
          <w:bCs w:val="0"/>
          <w:color w:val="auto"/>
          <w:sz w:val="32"/>
          <w:szCs w:val="32"/>
          <w:highlight w:val="none"/>
          <w:u w:val="none"/>
          <w:lang w:val="en-US" w:eastAsia="zh-CN"/>
        </w:rPr>
        <w:t>（五）申报材料的提交</w:t>
      </w:r>
      <w:bookmarkEnd w:id="288"/>
      <w:bookmarkEnd w:id="289"/>
      <w:bookmarkEnd w:id="290"/>
    </w:p>
    <w:p w14:paraId="6ED17074">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color w:val="auto"/>
          <w:kern w:val="2"/>
          <w:sz w:val="32"/>
          <w:szCs w:val="32"/>
          <w:highlight w:val="none"/>
          <w:u w:val="none"/>
          <w:lang w:val="en-US" w:eastAsia="zh-CN"/>
        </w:rPr>
      </w:pPr>
      <w:r>
        <w:rPr>
          <w:rFonts w:hint="eastAsia" w:ascii="仿宋_GB2312" w:hAnsi="仿宋_GB2312" w:eastAsia="仿宋_GB2312" w:cs="仿宋_GB2312"/>
          <w:color w:val="auto"/>
          <w:kern w:val="2"/>
          <w:sz w:val="32"/>
          <w:szCs w:val="32"/>
          <w:highlight w:val="none"/>
          <w:u w:val="none"/>
          <w:lang w:val="en-US" w:eastAsia="zh-CN"/>
        </w:rPr>
        <w:t>1.申报企业应在规定时间内通过深圳阳光平台系统提交申报材料。</w:t>
      </w:r>
      <w:r>
        <w:rPr>
          <w:rFonts w:hint="eastAsia" w:ascii="仿宋_GB2312" w:hAnsi="仿宋_GB2312" w:eastAsia="仿宋_GB2312" w:cs="仿宋_GB2312"/>
          <w:color w:val="auto"/>
          <w:kern w:val="2"/>
          <w:sz w:val="32"/>
          <w:szCs w:val="32"/>
          <w:highlight w:val="none"/>
          <w:u w:val="none"/>
          <w:lang w:val="en-US" w:eastAsia="zh-CN" w:bidi="ar-SA"/>
        </w:rPr>
        <w:t>规定时间内未通过系统报名或报名审核不通过的，报名结束后不得补报或修改，由此引起的一切后果由申报企业自行负责。</w:t>
      </w:r>
    </w:p>
    <w:p w14:paraId="2596B9D3">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rPr>
      </w:pPr>
      <w:r>
        <w:rPr>
          <w:rFonts w:hint="eastAsia" w:ascii="仿宋_GB2312" w:hAnsi="仿宋_GB2312" w:eastAsia="仿宋_GB2312" w:cs="仿宋_GB2312"/>
          <w:color w:val="auto"/>
          <w:kern w:val="2"/>
          <w:sz w:val="32"/>
          <w:szCs w:val="32"/>
          <w:highlight w:val="none"/>
          <w:u w:val="none"/>
          <w:lang w:val="en-US" w:eastAsia="zh-CN"/>
        </w:rPr>
        <w:t>2.</w:t>
      </w:r>
      <w:r>
        <w:rPr>
          <w:rFonts w:hint="eastAsia" w:ascii="仿宋_GB2312" w:hAnsi="仿宋_GB2312" w:eastAsia="仿宋_GB2312" w:cs="仿宋_GB2312"/>
          <w:color w:val="auto"/>
          <w:kern w:val="2"/>
          <w:sz w:val="32"/>
          <w:szCs w:val="32"/>
          <w:highlight w:val="none"/>
          <w:lang w:val="en-US" w:eastAsia="zh-CN"/>
        </w:rPr>
        <w:t>深圳</w:t>
      </w:r>
      <w:r>
        <w:rPr>
          <w:rFonts w:hint="eastAsia" w:ascii="仿宋_GB2312" w:hAnsi="仿宋_GB2312" w:eastAsia="仿宋_GB2312" w:cs="仿宋_GB2312"/>
          <w:color w:val="auto"/>
          <w:kern w:val="2"/>
          <w:sz w:val="32"/>
          <w:szCs w:val="32"/>
          <w:highlight w:val="none"/>
        </w:rPr>
        <w:t>交易中心根据公证机构的意见，拒绝接收在截止时间后提交的任何申报及申报材料。</w:t>
      </w:r>
    </w:p>
    <w:p w14:paraId="2A24BE05">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rPr>
      </w:pPr>
      <w:r>
        <w:rPr>
          <w:rFonts w:hint="eastAsia" w:ascii="仿宋_GB2312" w:hAnsi="仿宋_GB2312" w:eastAsia="仿宋_GB2312" w:cs="仿宋_GB2312"/>
          <w:color w:val="auto"/>
          <w:kern w:val="2"/>
          <w:sz w:val="32"/>
          <w:szCs w:val="32"/>
          <w:highlight w:val="none"/>
          <w:lang w:val="en-US" w:eastAsia="zh-CN"/>
        </w:rPr>
        <w:t>3</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u w:val="none"/>
          <w:lang w:val="en-US" w:eastAsia="zh-CN"/>
        </w:rPr>
        <w:t>报名截止时间后，申报企业不得对其申报材料做任何修改。</w:t>
      </w:r>
    </w:p>
    <w:p w14:paraId="52F5B298">
      <w:pPr>
        <w:keepNext w:val="0"/>
        <w:keepLines w:val="0"/>
        <w:pageBreakBefore w:val="0"/>
        <w:widowControl w:val="0"/>
        <w:kinsoku/>
        <w:wordWrap/>
        <w:topLinePunct w:val="0"/>
        <w:bidi w:val="0"/>
        <w:spacing w:line="560" w:lineRule="exact"/>
        <w:ind w:left="0" w:firstLine="640" w:firstLineChars="200"/>
        <w:jc w:val="both"/>
        <w:textAlignment w:val="auto"/>
        <w:outlineLvl w:val="1"/>
        <w:rPr>
          <w:rFonts w:hint="default" w:ascii="黑体" w:hAnsi="黑体" w:eastAsia="黑体" w:cs="黑体"/>
          <w:color w:val="auto"/>
          <w:kern w:val="2"/>
          <w:sz w:val="32"/>
          <w:szCs w:val="32"/>
          <w:highlight w:val="none"/>
          <w:lang w:val="en-US" w:eastAsia="zh-CN"/>
        </w:rPr>
      </w:pPr>
      <w:bookmarkStart w:id="291" w:name="_Toc20576"/>
      <w:r>
        <w:rPr>
          <w:rFonts w:hint="eastAsia" w:ascii="黑体" w:hAnsi="黑体" w:eastAsia="黑体" w:cs="黑体"/>
          <w:color w:val="auto"/>
          <w:kern w:val="2"/>
          <w:sz w:val="32"/>
          <w:szCs w:val="32"/>
          <w:highlight w:val="none"/>
          <w:u w:val="none"/>
          <w:lang w:val="en-US" w:eastAsia="zh-CN"/>
        </w:rPr>
        <w:t>三</w:t>
      </w:r>
      <w:r>
        <w:rPr>
          <w:rFonts w:hint="eastAsia" w:ascii="黑体" w:hAnsi="黑体" w:eastAsia="黑体" w:cs="黑体"/>
          <w:color w:val="auto"/>
          <w:kern w:val="2"/>
          <w:sz w:val="32"/>
          <w:szCs w:val="32"/>
          <w:highlight w:val="none"/>
          <w:u w:val="none"/>
        </w:rPr>
        <w:t>、</w:t>
      </w:r>
      <w:bookmarkEnd w:id="96"/>
      <w:bookmarkEnd w:id="279"/>
      <w:bookmarkEnd w:id="280"/>
      <w:bookmarkEnd w:id="281"/>
      <w:bookmarkEnd w:id="282"/>
      <w:bookmarkEnd w:id="283"/>
      <w:bookmarkEnd w:id="284"/>
      <w:bookmarkEnd w:id="285"/>
      <w:bookmarkEnd w:id="286"/>
      <w:r>
        <w:rPr>
          <w:rFonts w:hint="eastAsia" w:ascii="黑体" w:hAnsi="黑体" w:eastAsia="黑体" w:cs="黑体"/>
          <w:color w:val="auto"/>
          <w:kern w:val="2"/>
          <w:sz w:val="32"/>
          <w:szCs w:val="32"/>
          <w:highlight w:val="none"/>
          <w:lang w:val="en-US" w:eastAsia="zh-CN"/>
        </w:rPr>
        <w:t>企业报价要求</w:t>
      </w:r>
      <w:bookmarkEnd w:id="291"/>
    </w:p>
    <w:p w14:paraId="7EBC9236">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rPr>
      </w:pPr>
      <w:bookmarkStart w:id="292" w:name="_Toc1954"/>
      <w:bookmarkStart w:id="293" w:name="_Toc9739"/>
      <w:bookmarkStart w:id="294" w:name="_Toc8185"/>
      <w:bookmarkStart w:id="295" w:name="_Toc23089"/>
      <w:bookmarkStart w:id="296" w:name="_Toc18797"/>
      <w:bookmarkStart w:id="297" w:name="_Toc17215"/>
      <w:bookmarkStart w:id="298" w:name="_Toc13118"/>
      <w:bookmarkStart w:id="299" w:name="_Toc10634"/>
      <w:bookmarkStart w:id="300" w:name="_Toc5411"/>
      <w:bookmarkStart w:id="301" w:name="_Toc7242"/>
      <w:bookmarkStart w:id="302" w:name="_Toc10971"/>
      <w:bookmarkStart w:id="303" w:name="_Toc26538"/>
      <w:bookmarkStart w:id="304" w:name="_Toc25005"/>
      <w:bookmarkStart w:id="305" w:name="_Toc26049"/>
      <w:bookmarkStart w:id="306" w:name="_Toc22614"/>
      <w:r>
        <w:rPr>
          <w:rFonts w:hint="eastAsia" w:ascii="仿宋_GB2312" w:hAnsi="仿宋_GB2312" w:eastAsia="仿宋_GB2312" w:cs="仿宋_GB2312"/>
          <w:color w:val="auto"/>
          <w:kern w:val="2"/>
          <w:sz w:val="32"/>
          <w:szCs w:val="32"/>
          <w:highlight w:val="none"/>
          <w:u w:val="none"/>
          <w:lang w:eastAsia="zh-CN"/>
        </w:rPr>
        <w:t>本次</w:t>
      </w:r>
      <w:r>
        <w:rPr>
          <w:rFonts w:hint="eastAsia" w:ascii="仿宋_GB2312" w:hAnsi="仿宋_GB2312" w:eastAsia="仿宋_GB2312" w:cs="仿宋_GB2312"/>
          <w:color w:val="auto"/>
          <w:sz w:val="32"/>
          <w:szCs w:val="32"/>
          <w:highlight w:val="none"/>
          <w:u w:val="none"/>
          <w:lang w:eastAsia="zh-CN"/>
        </w:rPr>
        <w:t>密网支架带量联动采购</w:t>
      </w:r>
      <w:r>
        <w:rPr>
          <w:rFonts w:hint="eastAsia" w:ascii="仿宋_GB2312" w:hAnsi="仿宋_GB2312" w:eastAsia="仿宋_GB2312" w:cs="仿宋_GB2312"/>
          <w:color w:val="auto"/>
          <w:kern w:val="2"/>
          <w:sz w:val="32"/>
          <w:szCs w:val="32"/>
          <w:highlight w:val="none"/>
          <w:u w:val="none"/>
          <w:lang w:eastAsia="zh-CN"/>
        </w:rPr>
        <w:t>以</w:t>
      </w:r>
      <w:r>
        <w:rPr>
          <w:rFonts w:hint="eastAsia" w:ascii="仿宋_GB2312" w:hAnsi="仿宋_GB2312" w:eastAsia="仿宋_GB2312" w:cs="仿宋_GB2312"/>
          <w:b/>
          <w:bCs/>
          <w:color w:val="auto"/>
          <w:kern w:val="2"/>
          <w:sz w:val="32"/>
          <w:szCs w:val="32"/>
          <w:highlight w:val="none"/>
          <w:u w:val="none"/>
          <w:lang w:val="en-US" w:eastAsia="zh-CN"/>
        </w:rPr>
        <w:t>同一注册证</w:t>
      </w:r>
      <w:r>
        <w:rPr>
          <w:rFonts w:hint="eastAsia" w:ascii="仿宋_GB2312" w:hAnsi="仿宋_GB2312" w:eastAsia="仿宋_GB2312" w:cs="仿宋_GB2312"/>
          <w:color w:val="auto"/>
          <w:kern w:val="2"/>
          <w:sz w:val="32"/>
          <w:szCs w:val="32"/>
          <w:highlight w:val="none"/>
          <w:u w:val="none"/>
          <w:lang w:eastAsia="zh-CN"/>
        </w:rPr>
        <w:t>作为</w:t>
      </w:r>
      <w:r>
        <w:rPr>
          <w:rFonts w:hint="eastAsia" w:ascii="仿宋_GB2312" w:hAnsi="仿宋_GB2312" w:eastAsia="仿宋_GB2312" w:cs="仿宋_GB2312"/>
          <w:color w:val="auto"/>
          <w:kern w:val="2"/>
          <w:sz w:val="32"/>
          <w:szCs w:val="32"/>
          <w:highlight w:val="none"/>
          <w:u w:val="none"/>
          <w:lang w:val="en-US" w:eastAsia="zh-CN"/>
        </w:rPr>
        <w:t>一个</w:t>
      </w:r>
      <w:r>
        <w:rPr>
          <w:rFonts w:hint="eastAsia" w:ascii="仿宋_GB2312" w:hAnsi="仿宋_GB2312" w:eastAsia="仿宋_GB2312" w:cs="仿宋_GB2312"/>
          <w:color w:val="auto"/>
          <w:kern w:val="2"/>
          <w:sz w:val="32"/>
          <w:szCs w:val="32"/>
          <w:highlight w:val="none"/>
          <w:u w:val="none"/>
          <w:lang w:eastAsia="zh-CN"/>
        </w:rPr>
        <w:t>报价单元</w:t>
      </w:r>
      <w:r>
        <w:rPr>
          <w:rFonts w:hint="eastAsia" w:ascii="仿宋_GB2312" w:hAnsi="仿宋_GB2312" w:eastAsia="仿宋_GB2312" w:cs="仿宋_GB2312"/>
          <w:color w:val="auto"/>
          <w:kern w:val="2"/>
          <w:sz w:val="32"/>
          <w:szCs w:val="32"/>
          <w:highlight w:val="none"/>
          <w:u w:val="none"/>
          <w:lang w:val="en-US" w:eastAsia="zh-CN"/>
        </w:rPr>
        <w:t>。每</w:t>
      </w:r>
      <w:r>
        <w:rPr>
          <w:rFonts w:hint="eastAsia" w:ascii="仿宋_GB2312" w:hAnsi="仿宋_GB2312" w:eastAsia="仿宋_GB2312" w:cs="仿宋_GB2312"/>
          <w:color w:val="auto"/>
          <w:kern w:val="2"/>
          <w:sz w:val="32"/>
          <w:szCs w:val="32"/>
          <w:highlight w:val="none"/>
          <w:u w:val="none"/>
          <w:lang w:val="en-US" w:eastAsia="zh-CN" w:bidi="ar-SA"/>
          <w14:ligatures w14:val="none"/>
        </w:rPr>
        <w:t>一个报价单元仅允许填报唯一价格。</w:t>
      </w:r>
    </w:p>
    <w:p w14:paraId="7A4BE7C5">
      <w:pPr>
        <w:keepNext w:val="0"/>
        <w:keepLines w:val="0"/>
        <w:pageBreakBefore w:val="0"/>
        <w:widowControl w:val="0"/>
        <w:kinsoku/>
        <w:wordWrap/>
        <w:overflowPunct w:val="0"/>
        <w:topLinePunct w:val="0"/>
        <w:autoSpaceDE/>
        <w:autoSpaceDN/>
        <w:bidi w:val="0"/>
        <w:adjustRightInd w:val="0"/>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14:ligatures w14:val="none"/>
        </w:rPr>
      </w:pPr>
      <w:r>
        <w:rPr>
          <w:rFonts w:hint="eastAsia" w:ascii="楷体_GB2312" w:hAnsi="楷体_GB2312" w:eastAsia="楷体_GB2312" w:cs="楷体_GB2312"/>
          <w:b w:val="0"/>
          <w:bCs w:val="0"/>
          <w:color w:val="auto"/>
          <w:sz w:val="32"/>
          <w:szCs w:val="32"/>
          <w:highlight w:val="none"/>
          <w:u w:val="none"/>
        </w:rPr>
        <w:t>（</w:t>
      </w:r>
      <w:r>
        <w:rPr>
          <w:rFonts w:hint="eastAsia" w:ascii="楷体_GB2312" w:hAnsi="楷体_GB2312" w:eastAsia="楷体_GB2312" w:cs="楷体_GB2312"/>
          <w:b w:val="0"/>
          <w:bCs w:val="0"/>
          <w:color w:val="auto"/>
          <w:sz w:val="32"/>
          <w:szCs w:val="32"/>
          <w:highlight w:val="none"/>
          <w:u w:val="none"/>
          <w:lang w:val="en-US" w:eastAsia="zh-CN"/>
        </w:rPr>
        <w:t>一</w:t>
      </w:r>
      <w:r>
        <w:rPr>
          <w:rFonts w:hint="eastAsia" w:ascii="楷体_GB2312" w:hAnsi="楷体_GB2312" w:eastAsia="楷体_GB2312" w:cs="楷体_GB2312"/>
          <w:b w:val="0"/>
          <w:bCs w:val="0"/>
          <w:color w:val="auto"/>
          <w:sz w:val="32"/>
          <w:szCs w:val="32"/>
          <w:highlight w:val="none"/>
          <w:u w:val="none"/>
        </w:rPr>
        <w:t>）</w:t>
      </w:r>
      <w:r>
        <w:rPr>
          <w:rFonts w:hint="eastAsia" w:ascii="仿宋_GB2312" w:hAnsi="仿宋_GB2312" w:eastAsia="仿宋_GB2312" w:cs="仿宋_GB2312"/>
          <w:color w:val="auto"/>
          <w:kern w:val="2"/>
          <w:sz w:val="32"/>
          <w:szCs w:val="32"/>
          <w:highlight w:val="none"/>
          <w:u w:val="none"/>
          <w:lang w:val="en-US" w:eastAsia="zh-CN" w:bidi="ar-SA"/>
          <w14:ligatures w14:val="none"/>
        </w:rPr>
        <w:t>申报企业按照量价挂钩的原则，</w:t>
      </w:r>
      <w:r>
        <w:rPr>
          <w:rFonts w:hint="eastAsia" w:ascii="仿宋_GB2312" w:hAnsi="仿宋_GB2312" w:eastAsia="仿宋_GB2312" w:cs="仿宋_GB2312"/>
          <w:color w:val="auto"/>
          <w:kern w:val="2"/>
          <w:sz w:val="32"/>
          <w:szCs w:val="32"/>
          <w:highlight w:val="none"/>
        </w:rPr>
        <w:t>按</w:t>
      </w:r>
      <w:r>
        <w:rPr>
          <w:rFonts w:hint="eastAsia" w:ascii="仿宋_GB2312" w:hAnsi="仿宋_GB2312" w:eastAsia="仿宋_GB2312" w:cs="仿宋_GB2312"/>
          <w:color w:val="auto"/>
          <w:kern w:val="2"/>
          <w:sz w:val="32"/>
          <w:szCs w:val="32"/>
          <w:highlight w:val="none"/>
          <w:lang w:val="en-US" w:eastAsia="zh-CN"/>
        </w:rPr>
        <w:t>正整数</w:t>
      </w:r>
      <w:r>
        <w:rPr>
          <w:rFonts w:hint="eastAsia" w:ascii="仿宋_GB2312" w:hAnsi="仿宋_GB2312" w:eastAsia="仿宋_GB2312" w:cs="仿宋_GB2312"/>
          <w:color w:val="auto"/>
          <w:kern w:val="2"/>
          <w:sz w:val="32"/>
          <w:szCs w:val="32"/>
          <w:highlight w:val="none"/>
          <w:u w:val="none"/>
          <w:lang w:val="en-US" w:eastAsia="zh-CN" w:bidi="ar-SA"/>
          <w14:ligatures w14:val="none"/>
        </w:rPr>
        <w:t>合理</w:t>
      </w:r>
      <w:r>
        <w:rPr>
          <w:rFonts w:hint="eastAsia" w:ascii="仿宋_GB2312" w:hAnsi="仿宋_GB2312" w:eastAsia="仿宋_GB2312" w:cs="仿宋_GB2312"/>
          <w:color w:val="auto"/>
          <w:kern w:val="2"/>
          <w:sz w:val="32"/>
          <w:szCs w:val="32"/>
          <w:highlight w:val="none"/>
        </w:rPr>
        <w:t>申报价格（P）</w:t>
      </w:r>
      <w:r>
        <w:rPr>
          <w:rFonts w:hint="eastAsia" w:ascii="仿宋_GB2312" w:hAnsi="仿宋_GB2312" w:eastAsia="仿宋_GB2312" w:cs="仿宋_GB2312"/>
          <w:color w:val="auto"/>
          <w:kern w:val="2"/>
          <w:sz w:val="32"/>
          <w:szCs w:val="32"/>
          <w:highlight w:val="none"/>
          <w:u w:val="none"/>
          <w:lang w:val="en-US" w:eastAsia="zh-CN" w:bidi="ar-SA"/>
          <w14:ligatures w14:val="none"/>
        </w:rPr>
        <w:t>。企业申报价格以人民币填报，单位为“元”</w:t>
      </w:r>
      <w:r>
        <w:rPr>
          <w:rFonts w:hint="eastAsia" w:ascii="仿宋_GB2312" w:hAnsi="仿宋_GB2312" w:eastAsia="仿宋_GB2312" w:cs="仿宋_GB2312"/>
          <w:color w:val="auto"/>
          <w:kern w:val="2"/>
          <w:sz w:val="32"/>
          <w:szCs w:val="32"/>
          <w:highlight w:val="none"/>
        </w:rPr>
        <w:t>。如申报价格出现有小数，</w:t>
      </w:r>
      <w:r>
        <w:rPr>
          <w:rFonts w:hint="eastAsia" w:ascii="仿宋_GB2312" w:hAnsi="仿宋_GB2312" w:eastAsia="仿宋_GB2312" w:cs="仿宋_GB2312"/>
          <w:color w:val="auto"/>
          <w:kern w:val="2"/>
          <w:sz w:val="32"/>
          <w:szCs w:val="32"/>
          <w:highlight w:val="none"/>
          <w:lang w:val="en-US" w:eastAsia="zh-CN"/>
        </w:rPr>
        <w:t>则向下取整至正整数作为申报价格</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u w:val="none"/>
          <w:lang w:val="en-US" w:eastAsia="zh-CN" w:bidi="ar-SA"/>
          <w14:ligatures w14:val="none"/>
        </w:rPr>
        <w:t>血流导向密网支架报价单位为根。</w:t>
      </w:r>
    </w:p>
    <w:p w14:paraId="5580EAA6">
      <w:pPr>
        <w:keepNext w:val="0"/>
        <w:keepLines w:val="0"/>
        <w:pageBreakBefore w:val="0"/>
        <w:widowControl w:val="0"/>
        <w:kinsoku/>
        <w:wordWrap/>
        <w:overflowPunct w:val="0"/>
        <w:topLinePunct w:val="0"/>
        <w:autoSpaceDE/>
        <w:autoSpaceDN/>
        <w:bidi w:val="0"/>
        <w:adjustRightInd w:val="0"/>
        <w:spacing w:line="560" w:lineRule="exact"/>
        <w:ind w:left="0" w:leftChars="0" w:firstLine="640" w:firstLineChars="200"/>
        <w:jc w:val="both"/>
        <w:textAlignment w:val="auto"/>
        <w:rPr>
          <w:rFonts w:hint="default" w:ascii="仿宋_GB2312" w:hAnsi="仿宋_GB2312" w:eastAsia="仿宋_GB2312" w:cs="仿宋_GB2312"/>
          <w:color w:val="auto"/>
          <w:kern w:val="2"/>
          <w:sz w:val="32"/>
          <w:szCs w:val="32"/>
          <w:highlight w:val="none"/>
          <w:u w:val="none"/>
          <w:lang w:val="en-US" w:eastAsia="zh-CN" w:bidi="ar-SA"/>
          <w14:ligatures w14:val="none"/>
        </w:rPr>
      </w:pPr>
      <w:r>
        <w:rPr>
          <w:rFonts w:hint="eastAsia" w:ascii="楷体_GB2312" w:hAnsi="楷体_GB2312" w:eastAsia="楷体_GB2312" w:cs="楷体_GB2312"/>
          <w:b w:val="0"/>
          <w:bCs w:val="0"/>
          <w:color w:val="auto"/>
          <w:sz w:val="32"/>
          <w:szCs w:val="32"/>
          <w:highlight w:val="none"/>
          <w:u w:val="none"/>
        </w:rPr>
        <w:t>（</w:t>
      </w:r>
      <w:r>
        <w:rPr>
          <w:rFonts w:hint="eastAsia" w:ascii="楷体_GB2312" w:hAnsi="楷体_GB2312" w:eastAsia="楷体_GB2312" w:cs="楷体_GB2312"/>
          <w:b w:val="0"/>
          <w:bCs w:val="0"/>
          <w:color w:val="auto"/>
          <w:sz w:val="32"/>
          <w:szCs w:val="32"/>
          <w:highlight w:val="none"/>
          <w:u w:val="none"/>
          <w:lang w:val="en-US" w:eastAsia="zh-CN"/>
        </w:rPr>
        <w:t>二</w:t>
      </w:r>
      <w:r>
        <w:rPr>
          <w:rFonts w:hint="eastAsia" w:ascii="楷体_GB2312" w:hAnsi="楷体_GB2312" w:eastAsia="楷体_GB2312" w:cs="楷体_GB2312"/>
          <w:b w:val="0"/>
          <w:bCs w:val="0"/>
          <w:color w:val="auto"/>
          <w:sz w:val="32"/>
          <w:szCs w:val="32"/>
          <w:highlight w:val="none"/>
          <w:u w:val="none"/>
        </w:rPr>
        <w:t>）</w:t>
      </w:r>
      <w:r>
        <w:rPr>
          <w:rFonts w:hint="eastAsia" w:ascii="仿宋_GB2312" w:hAnsi="仿宋_GB2312" w:eastAsia="仿宋_GB2312" w:cs="仿宋_GB2312"/>
          <w:color w:val="auto"/>
          <w:kern w:val="2"/>
          <w:sz w:val="32"/>
          <w:szCs w:val="32"/>
          <w:highlight w:val="none"/>
          <w:u w:val="none"/>
          <w:lang w:val="en-US" w:eastAsia="zh-CN" w:bidi="ar-SA"/>
          <w14:ligatures w14:val="none"/>
        </w:rPr>
        <w:t>申报价格为申报企业的实际供应价，应包含产品价格、税费、配送费用和伴随服务等所有费用。伴随服务包括协助组装工具、进行必要的工具使用指导、对医疗机构进行工具操作培训等。</w:t>
      </w:r>
    </w:p>
    <w:p w14:paraId="2515C0A8">
      <w:pPr>
        <w:pStyle w:val="18"/>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仿宋_GB2312" w:hAnsi="仿宋_GB2312" w:eastAsia="仿宋_GB2312" w:cs="仿宋_GB2312"/>
          <w:color w:val="auto"/>
          <w:kern w:val="2"/>
          <w:sz w:val="32"/>
          <w:szCs w:val="32"/>
          <w:highlight w:val="none"/>
          <w:u w:val="none"/>
          <w:lang w:val="en-US" w:eastAsia="zh-CN" w:bidi="ar-SA"/>
          <w14:ligatures w14:val="none"/>
        </w:rPr>
      </w:pPr>
      <w:r>
        <w:rPr>
          <w:rFonts w:hint="eastAsia" w:ascii="楷体_GB2312" w:hAnsi="楷体_GB2312" w:eastAsia="楷体_GB2312" w:cs="楷体_GB2312"/>
          <w:b w:val="0"/>
          <w:bCs w:val="0"/>
          <w:color w:val="auto"/>
          <w:sz w:val="32"/>
          <w:szCs w:val="32"/>
          <w:highlight w:val="none"/>
          <w:u w:val="none"/>
        </w:rPr>
        <w:t>（</w:t>
      </w:r>
      <w:r>
        <w:rPr>
          <w:rFonts w:hint="eastAsia" w:ascii="楷体_GB2312" w:hAnsi="楷体_GB2312" w:eastAsia="楷体_GB2312" w:cs="楷体_GB2312"/>
          <w:b w:val="0"/>
          <w:bCs w:val="0"/>
          <w:color w:val="auto"/>
          <w:sz w:val="32"/>
          <w:szCs w:val="32"/>
          <w:highlight w:val="none"/>
          <w:u w:val="none"/>
          <w:lang w:val="en-US" w:eastAsia="zh-CN"/>
        </w:rPr>
        <w:t>三</w:t>
      </w:r>
      <w:r>
        <w:rPr>
          <w:rFonts w:hint="eastAsia" w:ascii="楷体_GB2312" w:hAnsi="楷体_GB2312" w:eastAsia="楷体_GB2312" w:cs="楷体_GB2312"/>
          <w:b w:val="0"/>
          <w:bCs w:val="0"/>
          <w:color w:val="auto"/>
          <w:sz w:val="32"/>
          <w:szCs w:val="32"/>
          <w:highlight w:val="none"/>
          <w:u w:val="none"/>
        </w:rPr>
        <w:t>）</w:t>
      </w:r>
      <w:r>
        <w:rPr>
          <w:rFonts w:hint="eastAsia" w:ascii="仿宋_GB2312" w:hAnsi="仿宋_GB2312" w:eastAsia="仿宋_GB2312" w:cs="仿宋_GB2312"/>
          <w:color w:val="auto"/>
          <w:kern w:val="2"/>
          <w:sz w:val="32"/>
          <w:szCs w:val="32"/>
          <w:highlight w:val="none"/>
          <w:u w:val="none"/>
          <w:lang w:val="en-US" w:eastAsia="zh-CN" w:bidi="ar-SA"/>
          <w14:ligatures w14:val="none"/>
        </w:rPr>
        <w:t>申报价格P</w:t>
      </w:r>
      <w:r>
        <w:rPr>
          <w:rFonts w:hint="eastAsia" w:ascii="仿宋_GB2312" w:hAnsi="仿宋_GB2312" w:eastAsia="仿宋_GB2312" w:cs="仿宋_GB2312"/>
          <w:color w:val="auto"/>
          <w:kern w:val="2"/>
          <w:sz w:val="32"/>
          <w:szCs w:val="32"/>
          <w:highlight w:val="none"/>
          <w:u w:val="none"/>
          <w:lang w:val="en-US" w:eastAsia="zh-CN"/>
        </w:rPr>
        <w:t>不高于</w:t>
      </w:r>
      <w:r>
        <w:rPr>
          <w:rFonts w:hint="eastAsia" w:ascii="仿宋_GB2312" w:hAnsi="仿宋_GB2312" w:eastAsia="仿宋_GB2312" w:cs="仿宋_GB2312"/>
          <w:b w:val="0"/>
          <w:bCs w:val="0"/>
          <w:color w:val="auto"/>
          <w:kern w:val="2"/>
          <w:sz w:val="32"/>
          <w:szCs w:val="32"/>
          <w:highlight w:val="none"/>
          <w:u w:val="none"/>
          <w:lang w:val="en-US" w:eastAsia="zh-CN"/>
        </w:rPr>
        <w:t>P0的</w:t>
      </w:r>
      <w:r>
        <w:rPr>
          <w:rFonts w:hint="eastAsia" w:ascii="仿宋_GB2312" w:hAnsi="仿宋_GB2312" w:eastAsia="仿宋_GB2312" w:cs="仿宋_GB2312"/>
          <w:color w:val="auto"/>
          <w:kern w:val="2"/>
          <w:sz w:val="32"/>
          <w:szCs w:val="32"/>
          <w:highlight w:val="none"/>
          <w:u w:val="none"/>
          <w:lang w:val="en-US" w:eastAsia="zh-CN" w:bidi="ar-SA"/>
          <w14:ligatures w14:val="none"/>
        </w:rPr>
        <w:t>报价单元，视为有效报价单元。</w:t>
      </w:r>
    </w:p>
    <w:p w14:paraId="6E4AA654">
      <w:pPr>
        <w:pStyle w:val="18"/>
        <w:autoSpaceDE/>
        <w:autoSpaceDN/>
        <w:spacing w:line="560" w:lineRule="exact"/>
        <w:ind w:firstLine="640" w:firstLineChars="200"/>
        <w:jc w:val="both"/>
        <w:rPr>
          <w:rFonts w:hint="default" w:ascii="仿宋_GB2312" w:hAnsi="仿宋_GB2312" w:eastAsia="仿宋_GB2312" w:cs="仿宋_GB2312"/>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rPr>
        <w:t>（</w:t>
      </w:r>
      <w:r>
        <w:rPr>
          <w:rFonts w:hint="eastAsia" w:ascii="楷体_GB2312" w:hAnsi="楷体_GB2312" w:eastAsia="楷体_GB2312" w:cs="楷体_GB2312"/>
          <w:b w:val="0"/>
          <w:bCs w:val="0"/>
          <w:color w:val="auto"/>
          <w:sz w:val="32"/>
          <w:szCs w:val="32"/>
          <w:highlight w:val="none"/>
          <w:u w:val="none"/>
          <w:lang w:val="en-US" w:eastAsia="zh-CN"/>
        </w:rPr>
        <w:t>四</w:t>
      </w:r>
      <w:r>
        <w:rPr>
          <w:rFonts w:hint="eastAsia" w:ascii="楷体_GB2312" w:hAnsi="楷体_GB2312" w:eastAsia="楷体_GB2312" w:cs="楷体_GB2312"/>
          <w:b w:val="0"/>
          <w:bCs w:val="0"/>
          <w:color w:val="auto"/>
          <w:sz w:val="32"/>
          <w:szCs w:val="32"/>
          <w:highlight w:val="none"/>
          <w:u w:val="none"/>
        </w:rPr>
        <w:t>）</w:t>
      </w:r>
      <w:r>
        <w:rPr>
          <w:rFonts w:hint="eastAsia" w:ascii="仿宋_GB2312" w:hAnsi="仿宋_GB2312" w:eastAsia="仿宋_GB2312" w:cs="仿宋_GB2312"/>
          <w:color w:val="auto"/>
          <w:kern w:val="2"/>
          <w:sz w:val="32"/>
          <w:szCs w:val="32"/>
          <w:highlight w:val="none"/>
          <w:u w:val="none"/>
          <w:lang w:val="en-US" w:eastAsia="zh-CN" w:bidi="ar-SA"/>
        </w:rPr>
        <w:t>申报企业</w:t>
      </w:r>
      <w:r>
        <w:rPr>
          <w:rFonts w:hint="eastAsia" w:ascii="仿宋_GB2312" w:hAnsi="宋体" w:eastAsia="仿宋_GB2312" w:cstheme="minorBidi"/>
          <w:color w:val="auto"/>
          <w:kern w:val="2"/>
          <w:sz w:val="32"/>
          <w:szCs w:val="32"/>
        </w:rPr>
        <w:t>需在规定时间内，登录</w:t>
      </w:r>
      <w:r>
        <w:rPr>
          <w:rFonts w:hint="eastAsia" w:ascii="仿宋_GB2312" w:hAnsi="宋体" w:eastAsia="仿宋_GB2312" w:cstheme="minorBidi"/>
          <w:color w:val="auto"/>
          <w:kern w:val="2"/>
          <w:sz w:val="32"/>
          <w:szCs w:val="32"/>
          <w:lang w:val="en-US" w:eastAsia="zh-CN"/>
        </w:rPr>
        <w:t>系统</w:t>
      </w:r>
      <w:r>
        <w:rPr>
          <w:rFonts w:hint="eastAsia" w:ascii="仿宋_GB2312" w:hAnsi="宋体" w:eastAsia="仿宋_GB2312" w:cstheme="minorBidi"/>
          <w:color w:val="auto"/>
          <w:kern w:val="2"/>
          <w:sz w:val="32"/>
          <w:szCs w:val="32"/>
        </w:rPr>
        <w:t>对</w:t>
      </w:r>
      <w:r>
        <w:rPr>
          <w:rFonts w:hint="eastAsia" w:ascii="仿宋_GB2312" w:hAnsi="宋体" w:eastAsia="仿宋_GB2312" w:cstheme="minorBidi"/>
          <w:color w:val="auto"/>
          <w:kern w:val="2"/>
          <w:sz w:val="32"/>
          <w:szCs w:val="32"/>
          <w:lang w:val="en-US" w:eastAsia="zh-CN"/>
        </w:rPr>
        <w:t>申报</w:t>
      </w:r>
      <w:r>
        <w:rPr>
          <w:rFonts w:hint="eastAsia" w:ascii="仿宋_GB2312" w:hAnsi="宋体" w:eastAsia="仿宋_GB2312" w:cstheme="minorBidi"/>
          <w:color w:val="auto"/>
          <w:kern w:val="2"/>
          <w:sz w:val="32"/>
          <w:szCs w:val="32"/>
        </w:rPr>
        <w:t>产品进行报价并加密提交。</w:t>
      </w:r>
      <w:r>
        <w:rPr>
          <w:rFonts w:hint="eastAsia" w:ascii="仿宋_GB2312" w:hAnsi="仿宋_GB2312" w:eastAsia="仿宋_GB2312" w:cs="仿宋_GB2312"/>
          <w:color w:val="auto"/>
          <w:kern w:val="2"/>
          <w:sz w:val="32"/>
          <w:szCs w:val="32"/>
          <w:highlight w:val="none"/>
          <w:u w:val="none"/>
          <w:lang w:val="en-US" w:eastAsia="zh-CN" w:bidi="ar-SA"/>
        </w:rPr>
        <w:t>未按要求</w:t>
      </w:r>
      <w:r>
        <w:rPr>
          <w:rFonts w:hint="eastAsia" w:ascii="仿宋_GB2312" w:hAnsi="仿宋_GB2312" w:eastAsia="仿宋_GB2312" w:cs="仿宋_GB2312"/>
          <w:color w:val="auto"/>
          <w:kern w:val="2"/>
          <w:sz w:val="32"/>
          <w:szCs w:val="32"/>
          <w:highlight w:val="none"/>
          <w:u w:val="none"/>
          <w:lang w:val="en-US" w:eastAsia="zh-CN" w:bidi="ar-SA"/>
          <w14:ligatures w14:val="none"/>
        </w:rPr>
        <w:t>申报价格</w:t>
      </w:r>
      <w:r>
        <w:rPr>
          <w:rFonts w:hint="eastAsia" w:ascii="仿宋_GB2312" w:hAnsi="仿宋_GB2312" w:eastAsia="仿宋_GB2312" w:cs="仿宋_GB2312"/>
          <w:color w:val="auto"/>
          <w:kern w:val="2"/>
          <w:sz w:val="32"/>
          <w:szCs w:val="32"/>
          <w:highlight w:val="none"/>
          <w:u w:val="none"/>
          <w:lang w:val="en-US" w:eastAsia="zh-CN" w:bidi="ar-SA"/>
        </w:rPr>
        <w:t xml:space="preserve">或报价信息不完整的，均视为无效报价。 </w:t>
      </w:r>
    </w:p>
    <w:p w14:paraId="375ADC7E">
      <w:pPr>
        <w:keepNext w:val="0"/>
        <w:keepLines w:val="0"/>
        <w:pageBreakBefore w:val="0"/>
        <w:widowControl w:val="0"/>
        <w:kinsoku/>
        <w:wordWrap/>
        <w:overflowPunct w:val="0"/>
        <w:topLinePunct w:val="0"/>
        <w:autoSpaceDE/>
        <w:autoSpaceDN/>
        <w:bidi w:val="0"/>
        <w:adjustRightInd/>
        <w:snapToGrid/>
        <w:spacing w:line="560" w:lineRule="exact"/>
        <w:ind w:left="144" w:leftChars="6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rPr>
        <w:t>（</w:t>
      </w:r>
      <w:r>
        <w:rPr>
          <w:rFonts w:hint="eastAsia" w:ascii="楷体_GB2312" w:hAnsi="楷体_GB2312" w:eastAsia="楷体_GB2312" w:cs="楷体_GB2312"/>
          <w:b w:val="0"/>
          <w:bCs w:val="0"/>
          <w:color w:val="auto"/>
          <w:sz w:val="32"/>
          <w:szCs w:val="32"/>
          <w:highlight w:val="none"/>
          <w:u w:val="none"/>
          <w:lang w:val="en-US" w:eastAsia="zh-CN"/>
        </w:rPr>
        <w:t>五</w:t>
      </w:r>
      <w:r>
        <w:rPr>
          <w:rFonts w:hint="eastAsia" w:ascii="楷体_GB2312" w:hAnsi="楷体_GB2312" w:eastAsia="楷体_GB2312" w:cs="楷体_GB2312"/>
          <w:b w:val="0"/>
          <w:bCs w:val="0"/>
          <w:color w:val="auto"/>
          <w:sz w:val="32"/>
          <w:szCs w:val="32"/>
          <w:highlight w:val="none"/>
          <w:u w:val="none"/>
        </w:rPr>
        <w:t>）</w:t>
      </w:r>
      <w:r>
        <w:rPr>
          <w:rFonts w:hint="eastAsia" w:ascii="仿宋_GB2312" w:hAnsi="仿宋_GB2312" w:eastAsia="仿宋_GB2312" w:cs="仿宋_GB2312"/>
          <w:color w:val="auto"/>
          <w:kern w:val="2"/>
          <w:sz w:val="32"/>
          <w:szCs w:val="32"/>
          <w:highlight w:val="none"/>
          <w:u w:val="none"/>
          <w:lang w:val="en-US" w:eastAsia="zh-CN" w:bidi="ar-SA"/>
        </w:rPr>
        <w:t>规定时间内申报企业未按要求</w:t>
      </w:r>
      <w:r>
        <w:rPr>
          <w:rFonts w:hint="eastAsia" w:ascii="仿宋_GB2312" w:hAnsi="仿宋_GB2312" w:eastAsia="仿宋_GB2312" w:cs="仿宋_GB2312"/>
          <w:color w:val="auto"/>
          <w:kern w:val="2"/>
          <w:sz w:val="32"/>
          <w:szCs w:val="32"/>
          <w:highlight w:val="none"/>
          <w:u w:val="none"/>
          <w:lang w:val="en-US" w:eastAsia="zh-CN" w:bidi="ar-SA"/>
          <w14:ligatures w14:val="none"/>
        </w:rPr>
        <w:t>申报价格</w:t>
      </w:r>
      <w:r>
        <w:rPr>
          <w:rFonts w:hint="eastAsia" w:ascii="仿宋_GB2312" w:hAnsi="仿宋_GB2312" w:eastAsia="仿宋_GB2312" w:cs="仿宋_GB2312"/>
          <w:color w:val="auto"/>
          <w:kern w:val="2"/>
          <w:sz w:val="32"/>
          <w:szCs w:val="32"/>
          <w:highlight w:val="none"/>
          <w:u w:val="none"/>
          <w:lang w:val="en-US" w:eastAsia="zh-CN" w:bidi="ar-SA"/>
        </w:rPr>
        <w:t>或者</w:t>
      </w:r>
      <w:r>
        <w:rPr>
          <w:rFonts w:hint="eastAsia" w:ascii="仿宋_GB2312" w:hAnsi="仿宋_GB2312" w:eastAsia="仿宋_GB2312" w:cs="仿宋_GB2312"/>
          <w:color w:val="auto"/>
          <w:kern w:val="2"/>
          <w:sz w:val="32"/>
          <w:szCs w:val="32"/>
          <w:highlight w:val="none"/>
          <w:u w:val="none"/>
          <w:lang w:val="en-US" w:eastAsia="zh-CN" w:bidi="ar-SA"/>
          <w14:ligatures w14:val="none"/>
        </w:rPr>
        <w:t>申报价格</w:t>
      </w:r>
      <w:r>
        <w:rPr>
          <w:rFonts w:hint="eastAsia" w:ascii="仿宋_GB2312" w:hAnsi="仿宋_GB2312" w:eastAsia="仿宋_GB2312" w:cs="仿宋_GB2312"/>
          <w:color w:val="auto"/>
          <w:kern w:val="2"/>
          <w:sz w:val="32"/>
          <w:szCs w:val="32"/>
          <w:highlight w:val="none"/>
          <w:u w:val="none"/>
          <w:lang w:val="en-US" w:eastAsia="zh-CN" w:bidi="ar-SA"/>
        </w:rPr>
        <w:t>错误的，申报价格提交后不得补报或修改，由此引起的一切后果由申报企业自行负责。</w:t>
      </w:r>
      <w:bookmarkStart w:id="307" w:name="_Toc6006"/>
      <w:bookmarkStart w:id="308" w:name="_Toc22613"/>
    </w:p>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14:paraId="1E6E66B7">
      <w:pPr>
        <w:keepNext w:val="0"/>
        <w:keepLines w:val="0"/>
        <w:pageBreakBefore w:val="0"/>
        <w:widowControl w:val="0"/>
        <w:kinsoku/>
        <w:wordWrap/>
        <w:overflowPunct w:val="0"/>
        <w:topLinePunct w:val="0"/>
        <w:autoSpaceDE/>
        <w:autoSpaceDN/>
        <w:bidi w:val="0"/>
        <w:adjustRightInd w:val="0"/>
        <w:spacing w:line="560" w:lineRule="exact"/>
        <w:ind w:left="0" w:leftChars="0" w:firstLine="640" w:firstLineChars="200"/>
        <w:jc w:val="both"/>
        <w:textAlignment w:val="auto"/>
        <w:outlineLvl w:val="1"/>
        <w:rPr>
          <w:rFonts w:ascii="黑体" w:hAnsi="黑体" w:eastAsia="黑体" w:cs="黑体"/>
          <w:color w:val="auto"/>
          <w:kern w:val="2"/>
          <w:sz w:val="32"/>
          <w:szCs w:val="32"/>
          <w:highlight w:val="none"/>
        </w:rPr>
      </w:pPr>
      <w:bookmarkStart w:id="309" w:name="_Toc14323"/>
      <w:bookmarkStart w:id="310" w:name="_Toc31076"/>
      <w:bookmarkStart w:id="311" w:name="_Toc27900"/>
      <w:bookmarkStart w:id="312" w:name="_Toc22513"/>
      <w:bookmarkStart w:id="313" w:name="_Toc22313"/>
      <w:r>
        <w:rPr>
          <w:rFonts w:hint="eastAsia" w:ascii="黑体" w:hAnsi="黑体" w:eastAsia="黑体" w:cs="黑体"/>
          <w:color w:val="auto"/>
          <w:kern w:val="2"/>
          <w:sz w:val="32"/>
          <w:szCs w:val="32"/>
          <w:highlight w:val="none"/>
          <w:u w:val="none"/>
          <w:lang w:val="en-US" w:eastAsia="zh-CN"/>
        </w:rPr>
        <w:t>四</w:t>
      </w:r>
      <w:bookmarkEnd w:id="287"/>
      <w:bookmarkStart w:id="314" w:name="_Toc9346"/>
      <w:bookmarkStart w:id="315" w:name="_Toc6200"/>
      <w:r>
        <w:rPr>
          <w:rFonts w:hint="eastAsia" w:ascii="黑体" w:hAnsi="黑体" w:eastAsia="黑体" w:cs="黑体"/>
          <w:color w:val="auto"/>
          <w:kern w:val="2"/>
          <w:sz w:val="32"/>
          <w:szCs w:val="32"/>
          <w:highlight w:val="none"/>
          <w:u w:val="none"/>
        </w:rPr>
        <w:t>、</w:t>
      </w:r>
      <w:bookmarkEnd w:id="309"/>
      <w:bookmarkEnd w:id="310"/>
      <w:bookmarkEnd w:id="311"/>
      <w:bookmarkEnd w:id="312"/>
      <w:bookmarkEnd w:id="314"/>
      <w:bookmarkEnd w:id="315"/>
      <w:r>
        <w:rPr>
          <w:rFonts w:hint="eastAsia" w:ascii="黑体" w:hAnsi="黑体" w:eastAsia="黑体" w:cs="黑体"/>
          <w:color w:val="auto"/>
          <w:kern w:val="2"/>
          <w:sz w:val="32"/>
          <w:szCs w:val="32"/>
          <w:highlight w:val="none"/>
          <w:u w:val="none"/>
        </w:rPr>
        <w:t>报价信息解密</w:t>
      </w:r>
      <w:bookmarkEnd w:id="313"/>
    </w:p>
    <w:p w14:paraId="09B1C4BD">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rPr>
      </w:pPr>
      <w:r>
        <w:rPr>
          <w:rFonts w:hint="eastAsia" w:ascii="仿宋_GB2312" w:hAnsi="仿宋_GB2312" w:eastAsia="仿宋_GB2312" w:cs="仿宋_GB2312"/>
          <w:color w:val="auto"/>
          <w:sz w:val="32"/>
          <w:szCs w:val="32"/>
        </w:rPr>
        <w:t>报价信息解密时邀请公证机构和有关部门参加，对</w:t>
      </w:r>
      <w:r>
        <w:rPr>
          <w:rFonts w:hint="eastAsia" w:ascii="仿宋_GB2312" w:hAnsi="仿宋_GB2312" w:eastAsia="仿宋_GB2312" w:cs="仿宋_GB2312"/>
          <w:color w:val="auto"/>
          <w:sz w:val="32"/>
          <w:szCs w:val="32"/>
          <w:lang w:val="en-US" w:eastAsia="zh-CN"/>
        </w:rPr>
        <w:t>报价信息解密的</w:t>
      </w:r>
      <w:r>
        <w:rPr>
          <w:rFonts w:hint="eastAsia" w:ascii="仿宋_GB2312" w:hAnsi="仿宋_GB2312" w:eastAsia="仿宋_GB2312" w:cs="仿宋_GB2312"/>
          <w:color w:val="auto"/>
          <w:sz w:val="32"/>
          <w:szCs w:val="32"/>
        </w:rPr>
        <w:t>全过程进行监督。</w:t>
      </w:r>
    </w:p>
    <w:p w14:paraId="34295F29">
      <w:pPr>
        <w:pStyle w:val="5"/>
        <w:keepNext w:val="0"/>
        <w:keepLines w:val="0"/>
        <w:pageBreakBefore w:val="0"/>
        <w:widowControl w:val="0"/>
        <w:kinsoku/>
        <w:wordWrap/>
        <w:overflowPunct w:val="0"/>
        <w:topLinePunct w:val="0"/>
        <w:bidi w:val="0"/>
        <w:spacing w:line="560" w:lineRule="exact"/>
        <w:ind w:left="0" w:firstLine="640" w:firstLineChars="200"/>
        <w:jc w:val="both"/>
        <w:textAlignment w:val="auto"/>
        <w:outlineLvl w:val="1"/>
        <w:rPr>
          <w:rFonts w:hint="default" w:ascii="华文中宋" w:hAnsi="华文中宋" w:eastAsia="黑体" w:cs="华文中宋"/>
          <w:color w:val="auto"/>
          <w:kern w:val="2"/>
          <w:sz w:val="32"/>
          <w:szCs w:val="32"/>
          <w:highlight w:val="none"/>
          <w:u w:val="none"/>
          <w:lang w:val="en-US" w:eastAsia="zh-CN"/>
        </w:rPr>
      </w:pPr>
      <w:bookmarkStart w:id="316" w:name="_Toc18516"/>
      <w:bookmarkStart w:id="317" w:name="_Toc16303"/>
      <w:bookmarkStart w:id="318" w:name="_Toc22131"/>
      <w:bookmarkStart w:id="319" w:name="_Toc26661"/>
      <w:bookmarkStart w:id="320" w:name="_Toc21220"/>
      <w:bookmarkStart w:id="321" w:name="_Toc15969"/>
      <w:bookmarkStart w:id="322" w:name="_Toc1605"/>
      <w:bookmarkStart w:id="323" w:name="_Toc27930"/>
      <w:bookmarkStart w:id="324" w:name="_Toc15561"/>
      <w:bookmarkStart w:id="325" w:name="_Toc26369"/>
      <w:bookmarkStart w:id="326" w:name="_Toc8543"/>
      <w:bookmarkStart w:id="327" w:name="_Toc29977"/>
      <w:r>
        <w:rPr>
          <w:rFonts w:hint="eastAsia" w:ascii="黑体" w:hAnsi="黑体" w:eastAsia="黑体" w:cs="黑体"/>
          <w:color w:val="auto"/>
          <w:kern w:val="2"/>
          <w:sz w:val="32"/>
          <w:szCs w:val="32"/>
          <w:highlight w:val="none"/>
          <w:u w:val="none"/>
          <w:lang w:val="en-US" w:eastAsia="zh-CN"/>
        </w:rPr>
        <w:t>五</w:t>
      </w:r>
      <w:r>
        <w:rPr>
          <w:rFonts w:ascii="黑体" w:hAnsi="黑体" w:eastAsia="黑体" w:cs="黑体"/>
          <w:color w:val="auto"/>
          <w:kern w:val="2"/>
          <w:sz w:val="32"/>
          <w:szCs w:val="32"/>
          <w:highlight w:val="none"/>
          <w:u w:val="none"/>
        </w:rPr>
        <w:t>、</w:t>
      </w:r>
      <w:bookmarkEnd w:id="316"/>
      <w:r>
        <w:rPr>
          <w:rFonts w:hint="eastAsia" w:ascii="黑体" w:hAnsi="黑体" w:eastAsia="黑体" w:cs="黑体"/>
          <w:color w:val="auto"/>
          <w:kern w:val="2"/>
          <w:sz w:val="32"/>
          <w:szCs w:val="32"/>
          <w:highlight w:val="none"/>
          <w:u w:val="none"/>
          <w:lang w:val="en-US" w:eastAsia="zh-CN"/>
        </w:rPr>
        <w:t>中选结果确定</w:t>
      </w:r>
      <w:bookmarkEnd w:id="317"/>
      <w:bookmarkEnd w:id="318"/>
      <w:bookmarkEnd w:id="319"/>
      <w:bookmarkEnd w:id="320"/>
      <w:bookmarkEnd w:id="321"/>
      <w:bookmarkEnd w:id="322"/>
      <w:bookmarkEnd w:id="323"/>
    </w:p>
    <w:p w14:paraId="744CC682">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outlineLvl w:val="2"/>
        <w:rPr>
          <w:rFonts w:hint="eastAsia" w:ascii="楷体_GB2312" w:hAnsi="楷体_GB2312" w:eastAsia="楷体_GB2312" w:cs="楷体_GB2312"/>
          <w:b w:val="0"/>
          <w:bCs w:val="0"/>
          <w:color w:val="auto"/>
          <w:sz w:val="32"/>
          <w:szCs w:val="32"/>
          <w:highlight w:val="none"/>
          <w:u w:val="none"/>
          <w:lang w:eastAsia="zh-CN"/>
        </w:rPr>
      </w:pPr>
      <w:bookmarkStart w:id="328" w:name="_Toc27877"/>
      <w:bookmarkStart w:id="329" w:name="_Toc21522"/>
      <w:bookmarkStart w:id="330" w:name="_Toc30524"/>
      <w:bookmarkStart w:id="331" w:name="_Toc20887"/>
      <w:bookmarkStart w:id="332" w:name="_Toc5393"/>
      <w:bookmarkStart w:id="333" w:name="_Toc9457"/>
      <w:bookmarkStart w:id="334" w:name="_Toc8771"/>
      <w:r>
        <w:rPr>
          <w:rFonts w:hint="eastAsia" w:ascii="楷体_GB2312" w:hAnsi="楷体_GB2312" w:eastAsia="楷体_GB2312" w:cs="楷体_GB2312"/>
          <w:b w:val="0"/>
          <w:bCs w:val="0"/>
          <w:color w:val="auto"/>
          <w:sz w:val="32"/>
          <w:szCs w:val="32"/>
          <w:highlight w:val="none"/>
          <w:u w:val="none"/>
          <w:lang w:eastAsia="zh-CN"/>
        </w:rPr>
        <w:t>（</w:t>
      </w:r>
      <w:r>
        <w:rPr>
          <w:rFonts w:hint="eastAsia" w:ascii="楷体_GB2312" w:hAnsi="楷体_GB2312" w:eastAsia="楷体_GB2312" w:cs="楷体_GB2312"/>
          <w:b w:val="0"/>
          <w:bCs w:val="0"/>
          <w:color w:val="auto"/>
          <w:sz w:val="32"/>
          <w:szCs w:val="32"/>
          <w:highlight w:val="none"/>
          <w:u w:val="none"/>
          <w:lang w:val="en-US" w:eastAsia="zh-CN"/>
        </w:rPr>
        <w:t>一</w:t>
      </w:r>
      <w:r>
        <w:rPr>
          <w:rFonts w:hint="eastAsia" w:ascii="楷体_GB2312" w:hAnsi="楷体_GB2312" w:eastAsia="楷体_GB2312" w:cs="楷体_GB2312"/>
          <w:b w:val="0"/>
          <w:bCs w:val="0"/>
          <w:color w:val="auto"/>
          <w:sz w:val="32"/>
          <w:szCs w:val="32"/>
          <w:highlight w:val="none"/>
          <w:u w:val="none"/>
          <w:lang w:eastAsia="zh-CN"/>
        </w:rPr>
        <w:t>）</w:t>
      </w:r>
      <w:r>
        <w:rPr>
          <w:rFonts w:hint="eastAsia" w:ascii="楷体_GB2312" w:hAnsi="楷体_GB2312" w:eastAsia="楷体_GB2312" w:cs="楷体_GB2312"/>
          <w:b w:val="0"/>
          <w:bCs w:val="0"/>
          <w:color w:val="auto"/>
          <w:sz w:val="32"/>
          <w:szCs w:val="32"/>
          <w:highlight w:val="none"/>
          <w:u w:val="none"/>
          <w:lang w:val="en-US" w:eastAsia="zh-CN"/>
        </w:rPr>
        <w:t>拟中选产品确定规则</w:t>
      </w:r>
      <w:bookmarkEnd w:id="328"/>
      <w:bookmarkEnd w:id="329"/>
      <w:bookmarkEnd w:id="330"/>
      <w:bookmarkEnd w:id="331"/>
    </w:p>
    <w:p w14:paraId="77D91B5C">
      <w:pPr>
        <w:pStyle w:val="18"/>
        <w:pageBreakBefore w:val="0"/>
        <w:kinsoku/>
        <w:topLinePunct w:val="0"/>
        <w:bidi w:val="0"/>
        <w:spacing w:line="580" w:lineRule="exact"/>
        <w:ind w:firstLine="640" w:firstLineChars="200"/>
        <w:jc w:val="both"/>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符合企业报价要求的报价单元满足以下条件之一的，获得拟中选资格：</w:t>
      </w:r>
    </w:p>
    <w:p w14:paraId="510530F7">
      <w:pPr>
        <w:pStyle w:val="18"/>
        <w:pageBreakBefore w:val="0"/>
        <w:kinsoku/>
        <w:topLinePunct w:val="0"/>
        <w:bidi w:val="0"/>
        <w:spacing w:line="580" w:lineRule="exact"/>
        <w:ind w:firstLine="640" w:firstLineChars="200"/>
        <w:jc w:val="both"/>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rPr>
        <w:t>1.</w:t>
      </w:r>
      <w:r>
        <w:rPr>
          <w:rFonts w:hint="eastAsia" w:ascii="仿宋_GB2312" w:hAnsi="仿宋_GB2312" w:eastAsia="仿宋_GB2312" w:cs="仿宋_GB2312"/>
          <w:b w:val="0"/>
          <w:bCs w:val="0"/>
          <w:color w:val="auto"/>
          <w:kern w:val="2"/>
          <w:sz w:val="32"/>
          <w:szCs w:val="32"/>
          <w:highlight w:val="none"/>
        </w:rPr>
        <w:t>有带量最低价的报价单元：P≤P0、自身带量最低价和自身非带量最低价三者低值。</w:t>
      </w:r>
    </w:p>
    <w:p w14:paraId="6550C3B0">
      <w:pPr>
        <w:pStyle w:val="18"/>
        <w:pageBreakBefore w:val="0"/>
        <w:kinsoku/>
        <w:topLinePunct w:val="0"/>
        <w:bidi w:val="0"/>
        <w:spacing w:line="580" w:lineRule="exact"/>
        <w:ind w:firstLine="640" w:firstLineChars="200"/>
        <w:jc w:val="both"/>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rPr>
        <w:t>2.</w:t>
      </w:r>
      <w:r>
        <w:rPr>
          <w:rFonts w:hint="eastAsia" w:ascii="仿宋_GB2312" w:hAnsi="仿宋_GB2312" w:eastAsia="仿宋_GB2312" w:cs="仿宋_GB2312"/>
          <w:b w:val="0"/>
          <w:bCs w:val="0"/>
          <w:color w:val="auto"/>
          <w:kern w:val="2"/>
          <w:sz w:val="32"/>
          <w:szCs w:val="32"/>
          <w:highlight w:val="none"/>
        </w:rPr>
        <w:t>无带量最低价的报价单元：P≤P0、自身非带量最低价和所有报价单元带量最低价的</w:t>
      </w:r>
      <w:r>
        <w:rPr>
          <w:rFonts w:hint="eastAsia" w:ascii="仿宋_GB2312" w:hAnsi="仿宋_GB2312" w:eastAsia="仿宋_GB2312" w:cs="仿宋_GB2312"/>
          <w:b/>
          <w:bCs/>
          <w:color w:val="auto"/>
          <w:kern w:val="2"/>
          <w:sz w:val="32"/>
          <w:szCs w:val="32"/>
          <w:highlight w:val="none"/>
          <w:lang w:val="en-US" w:eastAsia="zh-CN"/>
        </w:rPr>
        <w:t>中位数</w:t>
      </w:r>
      <w:r>
        <w:rPr>
          <w:rFonts w:hint="eastAsia" w:ascii="仿宋_GB2312" w:hAnsi="仿宋_GB2312" w:eastAsia="仿宋_GB2312" w:cs="仿宋_GB2312"/>
          <w:b w:val="0"/>
          <w:bCs w:val="0"/>
          <w:color w:val="auto"/>
          <w:kern w:val="2"/>
          <w:sz w:val="32"/>
          <w:szCs w:val="32"/>
          <w:highlight w:val="none"/>
        </w:rPr>
        <w:t>三者低值。</w:t>
      </w:r>
    </w:p>
    <w:p w14:paraId="3D9F972C">
      <w:pPr>
        <w:pStyle w:val="18"/>
        <w:pageBreakBefore w:val="0"/>
        <w:kinsoku/>
        <w:topLinePunct w:val="0"/>
        <w:bidi w:val="0"/>
        <w:spacing w:line="580" w:lineRule="exact"/>
        <w:ind w:firstLine="640" w:firstLineChars="200"/>
        <w:jc w:val="both"/>
        <w:rPr>
          <w:rFonts w:hint="eastAsia" w:ascii="仿宋_GB2312" w:hAnsi="仿宋_GB2312" w:eastAsia="仿宋_GB2312" w:cs="仿宋_GB2312"/>
          <w:b w:val="0"/>
          <w:bCs w:val="0"/>
          <w:color w:val="auto"/>
          <w:kern w:val="2"/>
          <w:sz w:val="32"/>
          <w:szCs w:val="32"/>
          <w:highlight w:val="none"/>
          <w:lang w:eastAsia="zh-CN"/>
        </w:rPr>
      </w:pPr>
      <w:r>
        <w:rPr>
          <w:rFonts w:hint="eastAsia" w:ascii="仿宋_GB2312" w:hAnsi="仿宋_GB2312" w:eastAsia="仿宋_GB2312" w:cs="仿宋_GB2312"/>
          <w:b w:val="0"/>
          <w:bCs w:val="0"/>
          <w:color w:val="auto"/>
          <w:kern w:val="2"/>
          <w:sz w:val="32"/>
          <w:szCs w:val="32"/>
          <w:highlight w:val="none"/>
          <w:lang w:val="en-US" w:eastAsia="zh-CN"/>
        </w:rPr>
        <w:t>拟中选</w:t>
      </w:r>
      <w:r>
        <w:rPr>
          <w:rFonts w:hint="eastAsia" w:ascii="仿宋_GB2312" w:hAnsi="仿宋_GB2312" w:eastAsia="仿宋_GB2312" w:cs="仿宋_GB2312"/>
          <w:b w:val="0"/>
          <w:bCs w:val="0"/>
          <w:color w:val="auto"/>
          <w:kern w:val="2"/>
          <w:sz w:val="32"/>
          <w:szCs w:val="32"/>
          <w:highlight w:val="none"/>
        </w:rPr>
        <w:t>报价单元对应的所有申报产品</w:t>
      </w:r>
      <w:r>
        <w:rPr>
          <w:rFonts w:hint="eastAsia" w:ascii="仿宋_GB2312" w:hAnsi="仿宋_GB2312" w:eastAsia="仿宋_GB2312" w:cs="仿宋_GB2312"/>
          <w:b w:val="0"/>
          <w:bCs w:val="0"/>
          <w:color w:val="auto"/>
          <w:kern w:val="2"/>
          <w:sz w:val="32"/>
          <w:szCs w:val="32"/>
          <w:highlight w:val="none"/>
          <w:lang w:val="en-US" w:eastAsia="zh-CN"/>
        </w:rPr>
        <w:t>均</w:t>
      </w:r>
      <w:r>
        <w:rPr>
          <w:rFonts w:hint="eastAsia" w:ascii="仿宋_GB2312" w:hAnsi="仿宋_GB2312" w:eastAsia="仿宋_GB2312" w:cs="仿宋_GB2312"/>
          <w:b w:val="0"/>
          <w:bCs w:val="0"/>
          <w:color w:val="auto"/>
          <w:kern w:val="2"/>
          <w:sz w:val="32"/>
          <w:szCs w:val="32"/>
          <w:highlight w:val="none"/>
        </w:rPr>
        <w:t>为拟中选产品</w:t>
      </w:r>
      <w:r>
        <w:rPr>
          <w:rFonts w:hint="eastAsia" w:ascii="仿宋_GB2312" w:hAnsi="仿宋_GB2312" w:eastAsia="仿宋_GB2312" w:cs="仿宋_GB2312"/>
          <w:b w:val="0"/>
          <w:bCs w:val="0"/>
          <w:color w:val="auto"/>
          <w:kern w:val="2"/>
          <w:sz w:val="32"/>
          <w:szCs w:val="32"/>
          <w:highlight w:val="none"/>
          <w:lang w:eastAsia="zh-CN"/>
        </w:rPr>
        <w:t>。</w:t>
      </w:r>
    </w:p>
    <w:p w14:paraId="7E668DBB">
      <w:pPr>
        <w:pStyle w:val="18"/>
        <w:pageBreakBefore w:val="0"/>
        <w:kinsoku/>
        <w:topLinePunct w:val="0"/>
        <w:bidi w:val="0"/>
        <w:spacing w:line="580" w:lineRule="exact"/>
        <w:ind w:firstLine="643" w:firstLineChars="200"/>
        <w:jc w:val="both"/>
        <w:rPr>
          <w:rFonts w:hint="eastAsia" w:ascii="仿宋_GB2312" w:hAnsi="仿宋_GB2312" w:eastAsia="仿宋_GB2312" w:cs="仿宋_GB2312"/>
          <w:b/>
          <w:bCs/>
          <w:color w:val="auto"/>
          <w:kern w:val="2"/>
          <w:sz w:val="32"/>
          <w:szCs w:val="32"/>
          <w:highlight w:val="none"/>
        </w:rPr>
      </w:pPr>
      <w:r>
        <w:rPr>
          <w:rFonts w:hint="eastAsia" w:ascii="仿宋_GB2312" w:hAnsi="仿宋_GB2312" w:eastAsia="仿宋_GB2312" w:cs="仿宋_GB2312"/>
          <w:b/>
          <w:bCs/>
          <w:color w:val="auto"/>
          <w:kern w:val="2"/>
          <w:sz w:val="32"/>
          <w:szCs w:val="32"/>
          <w:highlight w:val="none"/>
        </w:rPr>
        <w:t>名词解释：</w:t>
      </w:r>
    </w:p>
    <w:p w14:paraId="234AD00B">
      <w:pPr>
        <w:pStyle w:val="18"/>
        <w:pageBreakBefore w:val="0"/>
        <w:kinsoku/>
        <w:topLinePunct w:val="0"/>
        <w:bidi w:val="0"/>
        <w:spacing w:line="580" w:lineRule="exact"/>
        <w:ind w:firstLine="643" w:firstLineChars="200"/>
        <w:jc w:val="both"/>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b/>
          <w:bCs/>
          <w:color w:val="auto"/>
          <w:kern w:val="2"/>
          <w:sz w:val="32"/>
          <w:szCs w:val="32"/>
          <w:highlight w:val="none"/>
          <w:lang w:val="en-US" w:eastAsia="zh-CN"/>
        </w:rPr>
        <w:t>1.</w:t>
      </w:r>
      <w:r>
        <w:rPr>
          <w:rFonts w:hint="eastAsia" w:ascii="仿宋_GB2312" w:hAnsi="仿宋_GB2312" w:eastAsia="仿宋_GB2312" w:cs="仿宋_GB2312"/>
          <w:b/>
          <w:bCs/>
          <w:color w:val="auto"/>
          <w:kern w:val="2"/>
          <w:sz w:val="32"/>
          <w:szCs w:val="32"/>
          <w:highlight w:val="none"/>
        </w:rPr>
        <w:t>带量最低价：</w:t>
      </w:r>
      <w:r>
        <w:rPr>
          <w:rFonts w:hint="eastAsia" w:ascii="仿宋_GB2312" w:hAnsi="仿宋_GB2312" w:eastAsia="仿宋_GB2312" w:cs="仿宋_GB2312"/>
          <w:color w:val="auto"/>
          <w:kern w:val="2"/>
          <w:sz w:val="32"/>
          <w:szCs w:val="32"/>
          <w:highlight w:val="none"/>
          <w:u w:val="none"/>
        </w:rPr>
        <w:t>指</w:t>
      </w:r>
      <w:r>
        <w:rPr>
          <w:rFonts w:hint="eastAsia" w:ascii="仿宋_GB2312" w:hAnsi="仿宋_GB2312" w:eastAsia="仿宋_GB2312" w:cs="仿宋_GB2312"/>
          <w:b w:val="0"/>
          <w:bCs w:val="0"/>
          <w:color w:val="auto"/>
          <w:kern w:val="2"/>
          <w:sz w:val="32"/>
          <w:szCs w:val="32"/>
          <w:highlight w:val="none"/>
          <w:u w:val="none"/>
          <w:lang w:val="en-US" w:eastAsia="zh-CN"/>
        </w:rPr>
        <w:t>截至**年**月**日</w:t>
      </w:r>
      <w:r>
        <w:rPr>
          <w:rFonts w:hint="eastAsia" w:ascii="仿宋_GB2312" w:hAnsi="仿宋_GB2312" w:eastAsia="仿宋_GB2312" w:cs="仿宋_GB2312"/>
          <w:color w:val="auto"/>
          <w:kern w:val="2"/>
          <w:sz w:val="32"/>
          <w:szCs w:val="32"/>
          <w:highlight w:val="none"/>
          <w:u w:val="none"/>
          <w:lang w:val="en-US" w:eastAsia="zh-CN"/>
        </w:rPr>
        <w:t>全国</w:t>
      </w:r>
      <w:r>
        <w:rPr>
          <w:rFonts w:hint="eastAsia" w:ascii="仿宋_GB2312" w:hAnsi="仿宋_GB2312" w:eastAsia="仿宋_GB2312" w:cs="仿宋_GB2312"/>
          <w:color w:val="auto"/>
          <w:kern w:val="2"/>
          <w:sz w:val="32"/>
          <w:szCs w:val="32"/>
          <w:highlight w:val="none"/>
          <w:u w:val="none"/>
        </w:rPr>
        <w:t>现行</w:t>
      </w:r>
      <w:r>
        <w:rPr>
          <w:rFonts w:hint="eastAsia" w:ascii="仿宋_GB2312" w:hAnsi="仿宋_GB2312" w:eastAsia="仿宋_GB2312" w:cs="仿宋_GB2312"/>
          <w:color w:val="auto"/>
          <w:kern w:val="2"/>
          <w:sz w:val="32"/>
          <w:szCs w:val="32"/>
          <w:highlight w:val="none"/>
          <w:u w:val="none"/>
          <w:lang w:val="en-US" w:eastAsia="zh-CN"/>
        </w:rPr>
        <w:t>省级</w:t>
      </w:r>
      <w:r>
        <w:rPr>
          <w:rFonts w:hint="eastAsia" w:ascii="仿宋_GB2312" w:hAnsi="仿宋_GB2312" w:eastAsia="仿宋_GB2312" w:cs="仿宋_GB2312"/>
          <w:color w:val="auto"/>
          <w:kern w:val="2"/>
          <w:sz w:val="32"/>
          <w:szCs w:val="32"/>
          <w:highlight w:val="none"/>
          <w:u w:val="none"/>
        </w:rPr>
        <w:t>（含</w:t>
      </w:r>
      <w:r>
        <w:rPr>
          <w:rFonts w:hint="eastAsia" w:ascii="仿宋_GB2312" w:hAnsi="仿宋_GB2312" w:eastAsia="仿宋_GB2312" w:cs="仿宋_GB2312"/>
          <w:color w:val="auto"/>
          <w:kern w:val="2"/>
          <w:sz w:val="32"/>
          <w:szCs w:val="32"/>
          <w:highlight w:val="none"/>
          <w:u w:val="none"/>
          <w:lang w:val="en-US" w:eastAsia="zh-CN"/>
        </w:rPr>
        <w:t>省际</w:t>
      </w:r>
      <w:r>
        <w:rPr>
          <w:rFonts w:hint="eastAsia" w:ascii="仿宋_GB2312" w:hAnsi="仿宋_GB2312" w:eastAsia="仿宋_GB2312" w:cs="仿宋_GB2312"/>
          <w:color w:val="auto"/>
          <w:kern w:val="2"/>
          <w:sz w:val="32"/>
          <w:szCs w:val="32"/>
          <w:highlight w:val="none"/>
          <w:u w:val="none"/>
        </w:rPr>
        <w:t>联盟）集中带量采购最低中选价格</w:t>
      </w:r>
      <w:r>
        <w:rPr>
          <w:rFonts w:hint="eastAsia" w:ascii="仿宋_GB2312" w:hAnsi="仿宋_GB2312" w:eastAsia="仿宋_GB2312" w:cs="仿宋_GB2312"/>
          <w:color w:val="auto"/>
          <w:kern w:val="2"/>
          <w:sz w:val="32"/>
          <w:szCs w:val="32"/>
          <w:highlight w:val="none"/>
          <w:u w:val="none"/>
          <w:lang w:eastAsia="zh-CN"/>
        </w:rPr>
        <w:t>；</w:t>
      </w:r>
      <w:r>
        <w:rPr>
          <w:rFonts w:hint="eastAsia" w:ascii="仿宋_GB2312" w:hAnsi="仿宋_GB2312" w:eastAsia="仿宋_GB2312" w:cs="仿宋_GB2312"/>
          <w:color w:val="auto"/>
          <w:kern w:val="2"/>
          <w:sz w:val="32"/>
          <w:szCs w:val="32"/>
          <w:highlight w:val="none"/>
          <w:u w:val="none"/>
          <w:lang w:val="en-US" w:eastAsia="zh-CN" w:bidi="ar-SA"/>
        </w:rPr>
        <w:t>报价单元内的报名规格型号存在多个不同价格的，按就低原则取值。</w:t>
      </w:r>
    </w:p>
    <w:p w14:paraId="0D0E8744">
      <w:pPr>
        <w:pStyle w:val="18"/>
        <w:keepNext w:val="0"/>
        <w:keepLines w:val="0"/>
        <w:pageBreakBefore w:val="0"/>
        <w:widowControl w:val="0"/>
        <w:kinsoku/>
        <w:wordWrap/>
        <w:topLinePunct w:val="0"/>
        <w:bidi w:val="0"/>
        <w:spacing w:line="560" w:lineRule="exact"/>
        <w:ind w:firstLine="643" w:firstLineChars="200"/>
        <w:jc w:val="both"/>
        <w:textAlignment w:val="auto"/>
        <w:rPr>
          <w:rFonts w:hint="eastAsia" w:ascii="仿宋_GB2312" w:hAnsi="仿宋_GB2312" w:eastAsia="仿宋_GB2312" w:cs="仿宋_GB2312"/>
          <w:color w:val="auto"/>
          <w:kern w:val="2"/>
          <w:sz w:val="32"/>
          <w:szCs w:val="32"/>
          <w:highlight w:val="none"/>
          <w:u w:val="none"/>
          <w:lang w:val="en-US" w:bidi="ar-SA"/>
        </w:rPr>
      </w:pPr>
      <w:r>
        <w:rPr>
          <w:rFonts w:hint="eastAsia" w:ascii="仿宋_GB2312" w:hAnsi="仿宋_GB2312" w:eastAsia="仿宋_GB2312" w:cs="仿宋_GB2312"/>
          <w:b/>
          <w:bCs/>
          <w:color w:val="auto"/>
          <w:kern w:val="2"/>
          <w:sz w:val="32"/>
          <w:szCs w:val="32"/>
          <w:highlight w:val="none"/>
          <w:lang w:val="en-US" w:eastAsia="zh-CN"/>
        </w:rPr>
        <w:t>2.非</w:t>
      </w:r>
      <w:r>
        <w:rPr>
          <w:rFonts w:hint="eastAsia" w:ascii="仿宋_GB2312" w:hAnsi="仿宋_GB2312" w:eastAsia="仿宋_GB2312" w:cs="仿宋_GB2312"/>
          <w:b/>
          <w:bCs/>
          <w:color w:val="auto"/>
          <w:kern w:val="2"/>
          <w:sz w:val="32"/>
          <w:szCs w:val="32"/>
          <w:highlight w:val="none"/>
        </w:rPr>
        <w:t>带量最低价：</w:t>
      </w:r>
      <w:r>
        <w:rPr>
          <w:rFonts w:hint="eastAsia" w:ascii="仿宋_GB2312" w:hAnsi="仿宋_GB2312" w:eastAsia="仿宋_GB2312" w:cs="仿宋_GB2312"/>
          <w:b w:val="0"/>
          <w:bCs w:val="0"/>
          <w:color w:val="auto"/>
          <w:kern w:val="2"/>
          <w:sz w:val="32"/>
          <w:szCs w:val="32"/>
          <w:highlight w:val="none"/>
          <w:u w:val="none"/>
        </w:rPr>
        <w:t>指</w:t>
      </w:r>
      <w:r>
        <w:rPr>
          <w:rFonts w:hint="eastAsia" w:ascii="仿宋_GB2312" w:hAnsi="仿宋_GB2312" w:eastAsia="仿宋_GB2312" w:cs="仿宋_GB2312"/>
          <w:b w:val="0"/>
          <w:bCs w:val="0"/>
          <w:color w:val="auto"/>
          <w:kern w:val="2"/>
          <w:sz w:val="32"/>
          <w:szCs w:val="32"/>
          <w:highlight w:val="none"/>
          <w:u w:val="none"/>
          <w:lang w:val="en-US" w:eastAsia="zh-CN"/>
        </w:rPr>
        <w:t>截至**年**月**日</w:t>
      </w:r>
      <w:r>
        <w:rPr>
          <w:rFonts w:hint="eastAsia" w:ascii="仿宋_GB2312" w:hAnsi="仿宋_GB2312" w:eastAsia="仿宋_GB2312" w:cs="仿宋_GB2312"/>
          <w:color w:val="auto"/>
          <w:kern w:val="2"/>
          <w:sz w:val="32"/>
          <w:szCs w:val="32"/>
          <w:highlight w:val="none"/>
          <w:u w:val="none"/>
        </w:rPr>
        <w:t>全国</w:t>
      </w:r>
      <w:r>
        <w:rPr>
          <w:rFonts w:hint="eastAsia" w:ascii="仿宋_GB2312" w:hAnsi="仿宋_GB2312" w:eastAsia="仿宋_GB2312" w:cs="仿宋_GB2312"/>
          <w:color w:val="auto"/>
          <w:kern w:val="2"/>
          <w:sz w:val="32"/>
          <w:szCs w:val="32"/>
          <w:highlight w:val="none"/>
          <w:u w:val="none"/>
          <w:lang w:eastAsia="zh-CN"/>
        </w:rPr>
        <w:t>（不含广东）</w:t>
      </w:r>
      <w:r>
        <w:rPr>
          <w:rFonts w:hint="eastAsia" w:ascii="仿宋_GB2312" w:hAnsi="仿宋_GB2312" w:eastAsia="仿宋_GB2312" w:cs="仿宋_GB2312"/>
          <w:color w:val="auto"/>
          <w:kern w:val="2"/>
          <w:sz w:val="32"/>
          <w:szCs w:val="32"/>
          <w:highlight w:val="none"/>
          <w:u w:val="none"/>
        </w:rPr>
        <w:t>省级最低挂网价格和广东省最低价</w:t>
      </w:r>
      <w:r>
        <w:rPr>
          <w:rFonts w:hint="eastAsia" w:ascii="仿宋_GB2312" w:hAnsi="仿宋_GB2312" w:eastAsia="仿宋_GB2312" w:cs="仿宋_GB2312"/>
          <w:color w:val="auto"/>
          <w:kern w:val="2"/>
          <w:sz w:val="32"/>
          <w:szCs w:val="32"/>
          <w:highlight w:val="none"/>
          <w:u w:val="none"/>
          <w:lang w:eastAsia="zh-CN"/>
        </w:rPr>
        <w:t>三者</w:t>
      </w:r>
      <w:r>
        <w:rPr>
          <w:rFonts w:hint="eastAsia" w:ascii="仿宋_GB2312" w:hAnsi="仿宋_GB2312" w:eastAsia="仿宋_GB2312" w:cs="仿宋_GB2312"/>
          <w:color w:val="auto"/>
          <w:kern w:val="2"/>
          <w:sz w:val="32"/>
          <w:szCs w:val="32"/>
          <w:highlight w:val="none"/>
          <w:u w:val="none"/>
        </w:rPr>
        <w:t>低值，</w:t>
      </w:r>
      <w:r>
        <w:rPr>
          <w:rFonts w:hint="eastAsia" w:ascii="仿宋_GB2312" w:hAnsi="仿宋_GB2312" w:eastAsia="仿宋_GB2312" w:cs="仿宋_GB2312"/>
          <w:color w:val="auto"/>
          <w:kern w:val="2"/>
          <w:sz w:val="32"/>
          <w:szCs w:val="32"/>
          <w:highlight w:val="none"/>
          <w:u w:val="none"/>
          <w:lang w:eastAsia="zh-CN"/>
        </w:rPr>
        <w:t>其中</w:t>
      </w:r>
      <w:r>
        <w:rPr>
          <w:rFonts w:hint="eastAsia" w:ascii="仿宋_GB2312" w:hAnsi="仿宋_GB2312" w:eastAsia="仿宋_GB2312" w:cs="仿宋_GB2312"/>
          <w:color w:val="auto"/>
          <w:kern w:val="2"/>
          <w:sz w:val="32"/>
          <w:szCs w:val="32"/>
          <w:highlight w:val="none"/>
          <w:u w:val="none"/>
        </w:rPr>
        <w:t>广东省最低价指省平台、广州平台、深圳平台三个平台的最低价</w:t>
      </w:r>
      <w:r>
        <w:rPr>
          <w:rFonts w:hint="eastAsia" w:ascii="仿宋_GB2312" w:hAnsi="仿宋_GB2312" w:eastAsia="仿宋_GB2312" w:cs="仿宋_GB2312"/>
          <w:color w:val="auto"/>
          <w:kern w:val="2"/>
          <w:sz w:val="32"/>
          <w:szCs w:val="32"/>
          <w:highlight w:val="none"/>
          <w:u w:val="none"/>
          <w:lang w:eastAsia="zh-CN"/>
        </w:rPr>
        <w:t>，</w:t>
      </w:r>
      <w:r>
        <w:rPr>
          <w:rFonts w:hint="eastAsia" w:ascii="仿宋_GB2312" w:hAnsi="仿宋_GB2312" w:eastAsia="仿宋_GB2312" w:cs="仿宋_GB2312"/>
          <w:color w:val="auto"/>
          <w:kern w:val="2"/>
          <w:sz w:val="32"/>
          <w:szCs w:val="32"/>
          <w:highlight w:val="none"/>
          <w:u w:val="none"/>
          <w:lang w:val="en-US" w:eastAsia="zh-CN"/>
        </w:rPr>
        <w:t>包括挂网价格、</w:t>
      </w:r>
      <w:r>
        <w:rPr>
          <w:rFonts w:hint="eastAsia" w:ascii="仿宋_GB2312" w:hAnsi="仿宋_GB2312" w:eastAsia="仿宋_GB2312" w:cs="仿宋_GB2312"/>
          <w:color w:val="auto"/>
          <w:kern w:val="2"/>
          <w:sz w:val="32"/>
          <w:szCs w:val="32"/>
          <w:highlight w:val="none"/>
          <w:u w:val="none"/>
          <w:lang w:eastAsia="zh-CN"/>
        </w:rPr>
        <w:t>线下采购上传的价格和实际交易</w:t>
      </w:r>
      <w:r>
        <w:rPr>
          <w:rFonts w:hint="eastAsia" w:ascii="仿宋_GB2312" w:hAnsi="仿宋_GB2312" w:eastAsia="仿宋_GB2312" w:cs="仿宋_GB2312"/>
          <w:color w:val="auto"/>
          <w:kern w:val="2"/>
          <w:sz w:val="32"/>
          <w:szCs w:val="32"/>
          <w:highlight w:val="none"/>
          <w:u w:val="none"/>
          <w:lang w:val="en-US" w:eastAsia="zh-CN"/>
        </w:rPr>
        <w:t>价格</w:t>
      </w:r>
      <w:r>
        <w:rPr>
          <w:rFonts w:hint="eastAsia" w:ascii="仿宋_GB2312" w:hAnsi="仿宋_GB2312" w:eastAsia="仿宋_GB2312" w:cs="仿宋_GB2312"/>
          <w:color w:val="auto"/>
          <w:kern w:val="2"/>
          <w:sz w:val="32"/>
          <w:szCs w:val="32"/>
          <w:highlight w:val="none"/>
          <w:u w:val="none"/>
        </w:rPr>
        <w:t>；</w:t>
      </w:r>
      <w:r>
        <w:rPr>
          <w:rFonts w:hint="eastAsia" w:ascii="仿宋_GB2312" w:hAnsi="仿宋_GB2312" w:eastAsia="仿宋_GB2312" w:cs="仿宋_GB2312"/>
          <w:color w:val="auto"/>
          <w:kern w:val="2"/>
          <w:sz w:val="32"/>
          <w:szCs w:val="32"/>
          <w:highlight w:val="none"/>
          <w:u w:val="none"/>
          <w:lang w:val="en-US" w:eastAsia="zh-CN" w:bidi="ar-SA"/>
        </w:rPr>
        <w:t>报价单元内的报</w:t>
      </w:r>
      <w:r>
        <w:rPr>
          <w:rFonts w:hint="eastAsia" w:ascii="仿宋_GB2312" w:hAnsi="仿宋_GB2312" w:eastAsia="仿宋_GB2312" w:cs="仿宋_GB2312"/>
          <w:color w:val="auto"/>
          <w:kern w:val="2"/>
          <w:sz w:val="32"/>
          <w:szCs w:val="32"/>
          <w:highlight w:val="none"/>
          <w:u w:val="none"/>
          <w:lang w:val="en-US" w:eastAsia="zh-CN"/>
        </w:rPr>
        <w:t>名规格型号存在多个不同价格的，按就低原则取值。</w:t>
      </w:r>
    </w:p>
    <w:bookmarkEnd w:id="332"/>
    <w:bookmarkEnd w:id="333"/>
    <w:bookmarkEnd w:id="334"/>
    <w:p w14:paraId="562EA262">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outlineLvl w:val="2"/>
        <w:rPr>
          <w:rFonts w:ascii="楷体_GB2312" w:hAnsi="楷体_GB2312" w:eastAsia="楷体_GB2312" w:cs="楷体_GB2312"/>
          <w:b w:val="0"/>
          <w:bCs w:val="0"/>
          <w:color w:val="auto"/>
          <w:sz w:val="32"/>
          <w:szCs w:val="32"/>
          <w:highlight w:val="none"/>
          <w:u w:val="none"/>
        </w:rPr>
      </w:pPr>
      <w:bookmarkStart w:id="335" w:name="_Toc23736"/>
      <w:bookmarkStart w:id="336" w:name="_Toc20043"/>
      <w:bookmarkStart w:id="337" w:name="_Toc23228"/>
      <w:bookmarkStart w:id="338" w:name="_Toc5488"/>
      <w:bookmarkStart w:id="339" w:name="_Toc25135"/>
      <w:bookmarkStart w:id="340" w:name="_Toc21942"/>
      <w:bookmarkStart w:id="341" w:name="_Toc12044"/>
      <w:bookmarkStart w:id="342" w:name="_Toc14506"/>
      <w:bookmarkStart w:id="343" w:name="_Toc23272"/>
      <w:bookmarkStart w:id="344" w:name="_Toc32356"/>
      <w:bookmarkStart w:id="345" w:name="_Toc13179"/>
      <w:bookmarkStart w:id="346" w:name="_Toc12373"/>
      <w:bookmarkStart w:id="347" w:name="_Toc15754"/>
      <w:bookmarkStart w:id="348" w:name="_Toc14112"/>
      <w:bookmarkStart w:id="349" w:name="_Toc27430"/>
      <w:bookmarkStart w:id="350" w:name="_Toc6713"/>
      <w:bookmarkStart w:id="351" w:name="_Toc3240"/>
      <w:r>
        <w:rPr>
          <w:rFonts w:hint="eastAsia" w:ascii="楷体_GB2312" w:hAnsi="楷体_GB2312" w:eastAsia="楷体_GB2312" w:cs="楷体_GB2312"/>
          <w:b w:val="0"/>
          <w:bCs w:val="0"/>
          <w:color w:val="auto"/>
          <w:sz w:val="32"/>
          <w:szCs w:val="32"/>
          <w:highlight w:val="none"/>
          <w:u w:val="none"/>
        </w:rPr>
        <w:t>（</w:t>
      </w:r>
      <w:r>
        <w:rPr>
          <w:rFonts w:hint="eastAsia" w:ascii="楷体_GB2312" w:hAnsi="楷体_GB2312" w:eastAsia="楷体_GB2312" w:cs="楷体_GB2312"/>
          <w:b w:val="0"/>
          <w:bCs w:val="0"/>
          <w:color w:val="auto"/>
          <w:sz w:val="32"/>
          <w:szCs w:val="32"/>
          <w:highlight w:val="none"/>
          <w:u w:val="none"/>
          <w:lang w:val="en-US" w:eastAsia="zh-CN"/>
        </w:rPr>
        <w:t>二</w:t>
      </w:r>
      <w:r>
        <w:rPr>
          <w:rFonts w:hint="eastAsia" w:ascii="楷体_GB2312" w:hAnsi="楷体_GB2312" w:eastAsia="楷体_GB2312" w:cs="楷体_GB2312"/>
          <w:b w:val="0"/>
          <w:bCs w:val="0"/>
          <w:color w:val="auto"/>
          <w:sz w:val="32"/>
          <w:szCs w:val="32"/>
          <w:highlight w:val="none"/>
          <w:u w:val="none"/>
        </w:rPr>
        <w:t>）</w:t>
      </w:r>
      <w:r>
        <w:rPr>
          <w:rFonts w:ascii="楷体_GB2312" w:hAnsi="楷体_GB2312" w:eastAsia="楷体_GB2312" w:cs="楷体_GB2312"/>
          <w:b w:val="0"/>
          <w:bCs w:val="0"/>
          <w:color w:val="auto"/>
          <w:sz w:val="32"/>
          <w:szCs w:val="32"/>
          <w:highlight w:val="none"/>
          <w:u w:val="none"/>
        </w:rPr>
        <w:t>公示</w:t>
      </w:r>
      <w:r>
        <w:rPr>
          <w:rFonts w:hint="eastAsia" w:ascii="楷体_GB2312" w:hAnsi="楷体_GB2312" w:eastAsia="楷体_GB2312" w:cs="楷体_GB2312"/>
          <w:b w:val="0"/>
          <w:bCs w:val="0"/>
          <w:color w:val="auto"/>
          <w:sz w:val="32"/>
          <w:szCs w:val="32"/>
          <w:highlight w:val="none"/>
          <w:u w:val="none"/>
          <w:lang w:eastAsia="zh-CN"/>
        </w:rPr>
        <w:t>拟</w:t>
      </w:r>
      <w:r>
        <w:rPr>
          <w:rFonts w:ascii="楷体_GB2312" w:hAnsi="楷体_GB2312" w:eastAsia="楷体_GB2312" w:cs="楷体_GB2312"/>
          <w:b w:val="0"/>
          <w:bCs w:val="0"/>
          <w:color w:val="auto"/>
          <w:sz w:val="32"/>
          <w:szCs w:val="32"/>
          <w:highlight w:val="none"/>
          <w:u w:val="none"/>
        </w:rPr>
        <w:t>中选</w:t>
      </w:r>
      <w:r>
        <w:rPr>
          <w:rFonts w:hint="eastAsia" w:ascii="楷体_GB2312" w:hAnsi="楷体_GB2312" w:eastAsia="楷体_GB2312" w:cs="楷体_GB2312"/>
          <w:b w:val="0"/>
          <w:bCs w:val="0"/>
          <w:color w:val="auto"/>
          <w:sz w:val="32"/>
          <w:szCs w:val="32"/>
          <w:highlight w:val="none"/>
          <w:u w:val="none"/>
        </w:rPr>
        <w:t>结果</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1C0F7354">
      <w:pPr>
        <w:pStyle w:val="5"/>
        <w:keepNext w:val="0"/>
        <w:keepLines w:val="0"/>
        <w:pageBreakBefore w:val="0"/>
        <w:widowControl w:val="0"/>
        <w:kinsoku/>
        <w:wordWrap/>
        <w:overflowPunct w:val="0"/>
        <w:topLinePunct w:val="0"/>
        <w:bidi w:val="0"/>
        <w:spacing w:line="560" w:lineRule="exact"/>
        <w:ind w:left="0" w:firstLine="640" w:firstLineChars="200"/>
        <w:jc w:val="both"/>
        <w:textAlignment w:val="auto"/>
        <w:rPr>
          <w:rFonts w:hint="eastAsia" w:ascii="仿宋_GB2312" w:hAnsi="仿宋_GB2312" w:eastAsia="仿宋_GB2312" w:cs="仿宋_GB2312"/>
          <w:color w:val="auto"/>
          <w:kern w:val="2"/>
          <w:sz w:val="32"/>
          <w:szCs w:val="32"/>
          <w:highlight w:val="none"/>
          <w:u w:val="none"/>
        </w:rPr>
      </w:pPr>
      <w:r>
        <w:rPr>
          <w:rFonts w:hint="eastAsia" w:ascii="仿宋_GB2312" w:hAnsi="仿宋_GB2312" w:eastAsia="仿宋_GB2312" w:cs="仿宋_GB2312"/>
          <w:color w:val="auto"/>
          <w:sz w:val="32"/>
          <w:szCs w:val="32"/>
          <w:highlight w:val="none"/>
          <w:u w:val="none"/>
        </w:rPr>
        <w:t>本次</w:t>
      </w:r>
      <w:r>
        <w:rPr>
          <w:rFonts w:hint="eastAsia" w:ascii="仿宋_GB2312" w:hAnsi="仿宋_GB2312" w:eastAsia="仿宋_GB2312" w:cs="仿宋_GB2312"/>
          <w:color w:val="auto"/>
          <w:sz w:val="32"/>
          <w:szCs w:val="32"/>
          <w:highlight w:val="none"/>
          <w:u w:val="none"/>
          <w:lang w:eastAsia="zh-CN"/>
        </w:rPr>
        <w:t>密网支架带量联动采购</w:t>
      </w:r>
      <w:r>
        <w:rPr>
          <w:rFonts w:hint="eastAsia" w:ascii="仿宋_GB2312" w:hAnsi="仿宋_GB2312" w:eastAsia="仿宋_GB2312" w:cs="仿宋_GB2312"/>
          <w:color w:val="auto"/>
          <w:sz w:val="32"/>
          <w:szCs w:val="32"/>
          <w:highlight w:val="none"/>
          <w:u w:val="none"/>
        </w:rPr>
        <w:t>的</w:t>
      </w:r>
      <w:r>
        <w:rPr>
          <w:rFonts w:hint="eastAsia" w:ascii="仿宋_GB2312" w:hAnsi="仿宋_GB2312" w:eastAsia="仿宋_GB2312" w:cs="仿宋_GB2312"/>
          <w:color w:val="auto"/>
          <w:sz w:val="32"/>
          <w:szCs w:val="32"/>
          <w:highlight w:val="none"/>
          <w:u w:val="none"/>
          <w:lang w:eastAsia="zh-CN"/>
        </w:rPr>
        <w:t>拟</w:t>
      </w:r>
      <w:r>
        <w:rPr>
          <w:rFonts w:hint="eastAsia" w:ascii="仿宋_GB2312" w:hAnsi="仿宋_GB2312" w:eastAsia="仿宋_GB2312" w:cs="仿宋_GB2312"/>
          <w:color w:val="auto"/>
          <w:sz w:val="32"/>
          <w:szCs w:val="32"/>
          <w:highlight w:val="none"/>
          <w:u w:val="none"/>
        </w:rPr>
        <w:t>中选</w:t>
      </w:r>
      <w:r>
        <w:rPr>
          <w:rFonts w:hint="eastAsia" w:ascii="仿宋_GB2312" w:hAnsi="仿宋_GB2312" w:eastAsia="仿宋_GB2312" w:cs="仿宋_GB2312"/>
          <w:color w:val="auto"/>
          <w:sz w:val="32"/>
          <w:szCs w:val="32"/>
          <w:highlight w:val="none"/>
          <w:u w:val="none"/>
          <w:lang w:val="en-US" w:eastAsia="zh-CN"/>
        </w:rPr>
        <w:t>结果</w:t>
      </w:r>
      <w:r>
        <w:rPr>
          <w:rFonts w:hint="eastAsia" w:ascii="仿宋_GB2312" w:hAnsi="仿宋_GB2312" w:eastAsia="仿宋_GB2312" w:cs="仿宋_GB2312"/>
          <w:color w:val="auto"/>
          <w:sz w:val="32"/>
          <w:szCs w:val="32"/>
          <w:highlight w:val="none"/>
          <w:u w:val="none"/>
        </w:rPr>
        <w:t>在深圳公共资源交易网</w:t>
      </w:r>
      <w:r>
        <w:rPr>
          <w:rFonts w:hint="eastAsia" w:ascii="仿宋_GB2312" w:hAnsi="仿宋_GB2312" w:eastAsia="仿宋_GB2312" w:cs="仿宋_GB2312"/>
          <w:color w:val="auto"/>
          <w:kern w:val="2"/>
          <w:sz w:val="32"/>
          <w:szCs w:val="32"/>
          <w:highlight w:val="none"/>
          <w:u w:val="none"/>
        </w:rPr>
        <w:t>（http://www.szggzy.com/）</w:t>
      </w:r>
      <w:r>
        <w:rPr>
          <w:rFonts w:hint="eastAsia" w:ascii="仿宋_GB2312" w:hAnsi="仿宋_GB2312" w:eastAsia="仿宋_GB2312" w:cs="仿宋_GB2312"/>
          <w:color w:val="auto"/>
          <w:sz w:val="32"/>
          <w:szCs w:val="32"/>
          <w:highlight w:val="none"/>
          <w:u w:val="none"/>
        </w:rPr>
        <w:t>医用耗材交易板块进行公示</w:t>
      </w:r>
      <w:r>
        <w:rPr>
          <w:rFonts w:hint="eastAsia" w:ascii="仿宋_GB2312" w:hAnsi="仿宋_GB2312" w:eastAsia="仿宋_GB2312" w:cs="仿宋_GB2312"/>
          <w:color w:val="auto"/>
          <w:kern w:val="2"/>
          <w:sz w:val="32"/>
          <w:szCs w:val="32"/>
          <w:highlight w:val="none"/>
          <w:u w:val="none"/>
        </w:rPr>
        <w:t>，由</w:t>
      </w:r>
      <w:r>
        <w:rPr>
          <w:rFonts w:hint="eastAsia" w:ascii="仿宋_GB2312" w:hAnsi="仿宋_GB2312" w:eastAsia="仿宋_GB2312" w:cs="仿宋_GB2312"/>
          <w:color w:val="auto"/>
          <w:kern w:val="2"/>
          <w:sz w:val="32"/>
          <w:szCs w:val="32"/>
          <w:highlight w:val="none"/>
          <w:u w:val="none"/>
          <w:lang w:eastAsia="zh-CN"/>
        </w:rPr>
        <w:t>深圳交易中心</w:t>
      </w:r>
      <w:r>
        <w:rPr>
          <w:rFonts w:hint="eastAsia" w:ascii="仿宋_GB2312" w:hAnsi="仿宋_GB2312" w:eastAsia="仿宋_GB2312" w:cs="仿宋_GB2312"/>
          <w:color w:val="auto"/>
          <w:kern w:val="2"/>
          <w:sz w:val="32"/>
          <w:szCs w:val="32"/>
          <w:highlight w:val="none"/>
          <w:u w:val="none"/>
        </w:rPr>
        <w:t>接受复核申请</w:t>
      </w:r>
      <w:r>
        <w:rPr>
          <w:rFonts w:hint="eastAsia" w:ascii="仿宋_GB2312" w:hAnsi="仿宋_GB2312" w:eastAsia="仿宋_GB2312" w:cs="仿宋_GB2312"/>
          <w:color w:val="auto"/>
          <w:kern w:val="2"/>
          <w:sz w:val="32"/>
          <w:szCs w:val="32"/>
          <w:highlight w:val="none"/>
          <w:u w:val="none"/>
          <w:lang w:eastAsia="zh-CN"/>
        </w:rPr>
        <w:t>。</w:t>
      </w:r>
      <w:r>
        <w:rPr>
          <w:rFonts w:hint="eastAsia" w:ascii="仿宋_GB2312" w:hAnsi="仿宋_GB2312" w:eastAsia="仿宋_GB2312" w:cs="仿宋_GB2312"/>
          <w:color w:val="auto"/>
          <w:kern w:val="2"/>
          <w:sz w:val="32"/>
          <w:szCs w:val="32"/>
          <w:highlight w:val="none"/>
          <w:u w:val="none"/>
        </w:rPr>
        <w:t>复核申请</w:t>
      </w:r>
      <w:r>
        <w:rPr>
          <w:rFonts w:hint="eastAsia" w:ascii="仿宋_GB2312" w:hAnsi="仿宋_GB2312" w:eastAsia="仿宋_GB2312" w:cs="仿宋_GB2312"/>
          <w:color w:val="auto"/>
          <w:kern w:val="2"/>
          <w:sz w:val="32"/>
          <w:szCs w:val="32"/>
          <w:highlight w:val="none"/>
          <w:u w:val="none"/>
          <w:lang w:eastAsia="zh-CN"/>
        </w:rPr>
        <w:t>应在公</w:t>
      </w:r>
      <w:r>
        <w:rPr>
          <w:rFonts w:hint="eastAsia" w:ascii="仿宋_GB2312" w:hAnsi="仿宋_GB2312" w:eastAsia="仿宋_GB2312" w:cs="仿宋_GB2312"/>
          <w:color w:val="auto"/>
          <w:kern w:val="2"/>
          <w:sz w:val="32"/>
          <w:szCs w:val="32"/>
          <w:highlight w:val="none"/>
          <w:u w:val="none"/>
          <w:lang w:val="en-US" w:eastAsia="zh-CN"/>
        </w:rPr>
        <w:t>示</w:t>
      </w:r>
      <w:r>
        <w:rPr>
          <w:rFonts w:hint="eastAsia" w:ascii="仿宋_GB2312" w:hAnsi="仿宋_GB2312" w:eastAsia="仿宋_GB2312" w:cs="仿宋_GB2312"/>
          <w:color w:val="auto"/>
          <w:kern w:val="2"/>
          <w:sz w:val="32"/>
          <w:szCs w:val="32"/>
          <w:highlight w:val="none"/>
          <w:u w:val="none"/>
          <w:lang w:eastAsia="zh-CN"/>
        </w:rPr>
        <w:t>期间内提出,并依法依规提供合法</w:t>
      </w:r>
      <w:r>
        <w:rPr>
          <w:rFonts w:hint="eastAsia" w:ascii="仿宋_GB2312" w:hAnsi="仿宋_GB2312" w:eastAsia="仿宋_GB2312" w:cs="仿宋_GB2312"/>
          <w:color w:val="auto"/>
          <w:kern w:val="2"/>
          <w:sz w:val="32"/>
          <w:szCs w:val="32"/>
          <w:highlight w:val="none"/>
          <w:u w:val="none"/>
        </w:rPr>
        <w:t>有效、清晰完整、有针对性且无歧义的证明材料，否则不予受理。</w:t>
      </w:r>
      <w:r>
        <w:rPr>
          <w:rFonts w:hint="eastAsia" w:ascii="仿宋_GB2312" w:hAnsi="仿宋_GB2312" w:eastAsia="仿宋_GB2312" w:cs="仿宋_GB2312"/>
          <w:color w:val="auto"/>
          <w:kern w:val="2"/>
          <w:sz w:val="32"/>
          <w:szCs w:val="32"/>
          <w:highlight w:val="none"/>
          <w:u w:val="none"/>
          <w:lang w:eastAsia="zh-CN"/>
        </w:rPr>
        <w:t>经公</w:t>
      </w:r>
      <w:r>
        <w:rPr>
          <w:rFonts w:hint="eastAsia" w:ascii="仿宋_GB2312" w:hAnsi="仿宋_GB2312" w:eastAsia="仿宋_GB2312" w:cs="仿宋_GB2312"/>
          <w:color w:val="auto"/>
          <w:kern w:val="2"/>
          <w:sz w:val="32"/>
          <w:szCs w:val="32"/>
          <w:highlight w:val="none"/>
          <w:u w:val="none"/>
          <w:lang w:val="en-US" w:eastAsia="zh-CN"/>
        </w:rPr>
        <w:t>示</w:t>
      </w:r>
      <w:r>
        <w:rPr>
          <w:rFonts w:hint="eastAsia" w:ascii="仿宋_GB2312" w:hAnsi="仿宋_GB2312" w:eastAsia="仿宋_GB2312" w:cs="仿宋_GB2312"/>
          <w:color w:val="auto"/>
          <w:kern w:val="2"/>
          <w:sz w:val="32"/>
          <w:szCs w:val="32"/>
          <w:highlight w:val="none"/>
          <w:u w:val="none"/>
          <w:lang w:eastAsia="zh-CN"/>
        </w:rPr>
        <w:t>,如拟中选</w:t>
      </w:r>
      <w:r>
        <w:rPr>
          <w:rFonts w:hint="eastAsia" w:ascii="仿宋_GB2312" w:hAnsi="仿宋_GB2312" w:eastAsia="仿宋_GB2312" w:cs="仿宋_GB2312"/>
          <w:color w:val="auto"/>
          <w:kern w:val="2"/>
          <w:sz w:val="32"/>
          <w:szCs w:val="32"/>
          <w:highlight w:val="none"/>
          <w:u w:val="none"/>
          <w:lang w:val="en-US" w:eastAsia="zh-CN"/>
        </w:rPr>
        <w:t>产品</w:t>
      </w:r>
      <w:r>
        <w:rPr>
          <w:rFonts w:hint="eastAsia" w:ascii="仿宋_GB2312" w:hAnsi="仿宋_GB2312" w:eastAsia="仿宋_GB2312" w:cs="仿宋_GB2312"/>
          <w:color w:val="auto"/>
          <w:kern w:val="2"/>
          <w:sz w:val="32"/>
          <w:szCs w:val="32"/>
          <w:highlight w:val="none"/>
          <w:u w:val="none"/>
          <w:lang w:eastAsia="zh-CN"/>
        </w:rPr>
        <w:t>被取消拟中选资格,不递补拟中选</w:t>
      </w:r>
      <w:r>
        <w:rPr>
          <w:rFonts w:hint="eastAsia" w:ascii="仿宋_GB2312" w:hAnsi="仿宋_GB2312" w:eastAsia="仿宋_GB2312" w:cs="仿宋_GB2312"/>
          <w:color w:val="auto"/>
          <w:kern w:val="2"/>
          <w:sz w:val="32"/>
          <w:szCs w:val="32"/>
          <w:highlight w:val="none"/>
          <w:u w:val="none"/>
          <w:lang w:val="en-US" w:eastAsia="zh-CN"/>
        </w:rPr>
        <w:t>产品</w:t>
      </w:r>
      <w:r>
        <w:rPr>
          <w:rFonts w:hint="eastAsia" w:ascii="仿宋_GB2312" w:hAnsi="仿宋_GB2312" w:eastAsia="仿宋_GB2312" w:cs="仿宋_GB2312"/>
          <w:color w:val="auto"/>
          <w:kern w:val="2"/>
          <w:sz w:val="32"/>
          <w:szCs w:val="32"/>
          <w:highlight w:val="none"/>
          <w:u w:val="none"/>
          <w:lang w:eastAsia="zh-CN"/>
        </w:rPr>
        <w:t>,</w:t>
      </w:r>
      <w:r>
        <w:rPr>
          <w:rFonts w:hint="eastAsia" w:ascii="仿宋_GB2312" w:hAnsi="仿宋_GB2312" w:eastAsia="仿宋_GB2312" w:cs="仿宋_GB2312"/>
          <w:color w:val="auto"/>
          <w:kern w:val="2"/>
          <w:sz w:val="32"/>
          <w:szCs w:val="32"/>
          <w:highlight w:val="none"/>
          <w:u w:val="none"/>
          <w:lang w:val="en-US" w:eastAsia="zh-CN"/>
        </w:rPr>
        <w:t>也</w:t>
      </w:r>
      <w:r>
        <w:rPr>
          <w:rFonts w:hint="eastAsia" w:ascii="仿宋_GB2312" w:hAnsi="仿宋_GB2312" w:eastAsia="仿宋_GB2312" w:cs="仿宋_GB2312"/>
          <w:color w:val="auto"/>
          <w:kern w:val="2"/>
          <w:sz w:val="32"/>
          <w:szCs w:val="32"/>
          <w:highlight w:val="none"/>
          <w:u w:val="none"/>
          <w:lang w:eastAsia="zh-CN"/>
        </w:rPr>
        <w:t>不影响</w:t>
      </w:r>
      <w:r>
        <w:rPr>
          <w:rFonts w:hint="eastAsia" w:ascii="仿宋_GB2312" w:hAnsi="仿宋_GB2312" w:eastAsia="仿宋_GB2312" w:cs="仿宋_GB2312"/>
          <w:color w:val="auto"/>
          <w:kern w:val="2"/>
          <w:sz w:val="32"/>
          <w:szCs w:val="32"/>
          <w:highlight w:val="none"/>
          <w:u w:val="none"/>
          <w:lang w:val="en-US" w:eastAsia="zh-CN"/>
        </w:rPr>
        <w:t>排名或</w:t>
      </w:r>
      <w:r>
        <w:rPr>
          <w:rFonts w:hint="eastAsia" w:ascii="仿宋_GB2312" w:hAnsi="仿宋_GB2312" w:eastAsia="仿宋_GB2312" w:cs="仿宋_GB2312"/>
          <w:color w:val="auto"/>
          <w:kern w:val="2"/>
          <w:sz w:val="32"/>
          <w:szCs w:val="32"/>
          <w:highlight w:val="none"/>
          <w:u w:val="none"/>
          <w:lang w:eastAsia="zh-CN"/>
        </w:rPr>
        <w:t>其他</w:t>
      </w:r>
      <w:r>
        <w:rPr>
          <w:rFonts w:hint="eastAsia" w:ascii="仿宋_GB2312" w:hAnsi="仿宋_GB2312" w:eastAsia="仿宋_GB2312" w:cs="仿宋_GB2312"/>
          <w:color w:val="auto"/>
          <w:kern w:val="2"/>
          <w:sz w:val="32"/>
          <w:szCs w:val="32"/>
          <w:highlight w:val="none"/>
          <w:u w:val="none"/>
          <w:lang w:val="en-US" w:eastAsia="zh-CN"/>
        </w:rPr>
        <w:t>产品的</w:t>
      </w:r>
      <w:r>
        <w:rPr>
          <w:rFonts w:hint="eastAsia" w:ascii="仿宋_GB2312" w:hAnsi="仿宋_GB2312" w:eastAsia="仿宋_GB2312" w:cs="仿宋_GB2312"/>
          <w:color w:val="auto"/>
          <w:kern w:val="2"/>
          <w:sz w:val="32"/>
          <w:szCs w:val="32"/>
          <w:highlight w:val="none"/>
          <w:u w:val="none"/>
          <w:lang w:eastAsia="zh-CN"/>
        </w:rPr>
        <w:t>拟中选资格。</w:t>
      </w:r>
    </w:p>
    <w:p w14:paraId="028DBC76">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outlineLvl w:val="2"/>
        <w:rPr>
          <w:rFonts w:ascii="楷体_GB2312" w:hAnsi="楷体_GB2312" w:eastAsia="楷体_GB2312" w:cs="楷体_GB2312"/>
          <w:b w:val="0"/>
          <w:bCs w:val="0"/>
          <w:color w:val="auto"/>
          <w:sz w:val="32"/>
          <w:szCs w:val="32"/>
          <w:highlight w:val="none"/>
          <w:u w:val="none"/>
        </w:rPr>
      </w:pPr>
      <w:bookmarkStart w:id="352" w:name="_Toc29928"/>
      <w:bookmarkStart w:id="353" w:name="_Toc31865"/>
      <w:bookmarkStart w:id="354" w:name="_Toc11028"/>
      <w:bookmarkStart w:id="355" w:name="_Toc18101"/>
      <w:bookmarkStart w:id="356" w:name="_Toc7787"/>
      <w:bookmarkStart w:id="357" w:name="_Toc14595"/>
      <w:bookmarkStart w:id="358" w:name="_Toc22748"/>
      <w:bookmarkStart w:id="359" w:name="_Toc5761"/>
      <w:bookmarkStart w:id="360" w:name="_Toc20901"/>
      <w:bookmarkStart w:id="361" w:name="_Toc29930"/>
      <w:bookmarkStart w:id="362" w:name="_Toc2659"/>
      <w:bookmarkStart w:id="363" w:name="_Toc30529"/>
      <w:bookmarkStart w:id="364" w:name="_Toc24269"/>
      <w:bookmarkStart w:id="365" w:name="_Toc8045"/>
      <w:bookmarkStart w:id="366" w:name="_Toc4012"/>
      <w:bookmarkStart w:id="367" w:name="_Toc14989"/>
      <w:bookmarkStart w:id="368" w:name="_Toc5226"/>
      <w:bookmarkStart w:id="369" w:name="_Toc974"/>
      <w:bookmarkStart w:id="370" w:name="_Toc31261"/>
      <w:bookmarkStart w:id="371" w:name="_Toc10341"/>
      <w:bookmarkStart w:id="372" w:name="_Toc31582"/>
      <w:r>
        <w:rPr>
          <w:rFonts w:hint="eastAsia" w:ascii="楷体_GB2312" w:hAnsi="楷体_GB2312" w:eastAsia="楷体_GB2312" w:cs="楷体_GB2312"/>
          <w:color w:val="auto"/>
          <w:kern w:val="2"/>
          <w:sz w:val="32"/>
          <w:szCs w:val="32"/>
          <w:highlight w:val="none"/>
          <w:u w:val="none"/>
          <w:lang w:val="en-US" w:eastAsia="zh-CN" w:bidi="ar-SA"/>
        </w:rPr>
        <w:t>（三）</w:t>
      </w:r>
      <w:r>
        <w:rPr>
          <w:rFonts w:hint="eastAsia" w:ascii="楷体_GB2312" w:hAnsi="楷体_GB2312" w:eastAsia="楷体_GB2312" w:cs="楷体_GB2312"/>
          <w:b w:val="0"/>
          <w:bCs w:val="0"/>
          <w:color w:val="auto"/>
          <w:sz w:val="32"/>
          <w:szCs w:val="32"/>
          <w:highlight w:val="none"/>
          <w:u w:val="none"/>
        </w:rPr>
        <w:t>公布</w:t>
      </w:r>
      <w:r>
        <w:rPr>
          <w:rFonts w:ascii="楷体_GB2312" w:hAnsi="楷体_GB2312" w:eastAsia="楷体_GB2312" w:cs="楷体_GB2312"/>
          <w:b w:val="0"/>
          <w:bCs w:val="0"/>
          <w:color w:val="auto"/>
          <w:sz w:val="32"/>
          <w:szCs w:val="32"/>
          <w:highlight w:val="none"/>
          <w:u w:val="none"/>
        </w:rPr>
        <w:t>中选结果</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2E4A742B">
      <w:pPr>
        <w:pStyle w:val="5"/>
        <w:keepNext w:val="0"/>
        <w:keepLines w:val="0"/>
        <w:pageBreakBefore w:val="0"/>
        <w:widowControl w:val="0"/>
        <w:kinsoku/>
        <w:wordWrap/>
        <w:overflowPunct w:val="0"/>
        <w:topLinePunct w:val="0"/>
        <w:bidi w:val="0"/>
        <w:spacing w:line="560" w:lineRule="exact"/>
        <w:ind w:left="0" w:firstLine="640" w:firstLineChars="200"/>
        <w:jc w:val="both"/>
        <w:textAlignment w:val="auto"/>
        <w:rPr>
          <w:rFonts w:hint="eastAsia" w:ascii="仿宋_GB2312" w:hAnsi="仿宋_GB2312" w:eastAsia="仿宋_GB2312" w:cs="仿宋_GB2312"/>
          <w:color w:val="auto"/>
          <w:kern w:val="2"/>
          <w:sz w:val="32"/>
          <w:szCs w:val="32"/>
          <w:highlight w:val="none"/>
          <w:u w:val="none"/>
        </w:rPr>
      </w:pPr>
      <w:r>
        <w:rPr>
          <w:rFonts w:hint="eastAsia" w:ascii="仿宋_GB2312" w:hAnsi="仿宋_GB2312" w:eastAsia="仿宋_GB2312" w:cs="仿宋_GB2312"/>
          <w:color w:val="auto"/>
          <w:kern w:val="2"/>
          <w:sz w:val="32"/>
          <w:szCs w:val="32"/>
          <w:highlight w:val="none"/>
          <w:u w:val="none"/>
          <w:lang w:val="en-US" w:eastAsia="zh-CN"/>
        </w:rPr>
        <w:t>1.</w:t>
      </w:r>
      <w:r>
        <w:rPr>
          <w:rFonts w:hint="eastAsia" w:ascii="仿宋_GB2312" w:hAnsi="仿宋_GB2312" w:eastAsia="仿宋_GB2312" w:cs="仿宋_GB2312"/>
          <w:color w:val="auto"/>
          <w:kern w:val="2"/>
          <w:sz w:val="32"/>
          <w:szCs w:val="32"/>
          <w:highlight w:val="none"/>
          <w:u w:val="none"/>
          <w:lang w:eastAsia="zh-CN"/>
        </w:rPr>
        <w:t>拟</w:t>
      </w:r>
      <w:r>
        <w:rPr>
          <w:rFonts w:hint="eastAsia" w:ascii="仿宋_GB2312" w:hAnsi="仿宋_GB2312" w:eastAsia="仿宋_GB2312" w:cs="仿宋_GB2312"/>
          <w:color w:val="auto"/>
          <w:kern w:val="2"/>
          <w:sz w:val="32"/>
          <w:szCs w:val="32"/>
          <w:highlight w:val="none"/>
          <w:u w:val="none"/>
        </w:rPr>
        <w:t>中选结果公示无异议后，</w:t>
      </w:r>
      <w:r>
        <w:rPr>
          <w:rFonts w:hint="eastAsia" w:ascii="仿宋_GB2312" w:hAnsi="仿宋_GB2312" w:eastAsia="仿宋_GB2312" w:cs="仿宋_GB2312"/>
          <w:color w:val="auto"/>
          <w:kern w:val="2"/>
          <w:sz w:val="32"/>
          <w:szCs w:val="32"/>
          <w:highlight w:val="none"/>
          <w:u w:val="none"/>
          <w:lang w:eastAsia="zh-CN"/>
        </w:rPr>
        <w:t>拟中选产品</w:t>
      </w:r>
      <w:r>
        <w:rPr>
          <w:rFonts w:hint="eastAsia" w:ascii="仿宋_GB2312" w:hAnsi="仿宋_GB2312" w:eastAsia="仿宋_GB2312" w:cs="仿宋_GB2312"/>
          <w:color w:val="auto"/>
          <w:kern w:val="2"/>
          <w:sz w:val="32"/>
          <w:szCs w:val="32"/>
          <w:highlight w:val="none"/>
          <w:u w:val="none"/>
        </w:rPr>
        <w:t>及其对应的价格</w:t>
      </w:r>
      <w:r>
        <w:rPr>
          <w:rFonts w:hint="eastAsia" w:ascii="仿宋_GB2312" w:hAnsi="仿宋_GB2312" w:eastAsia="仿宋_GB2312" w:cs="仿宋_GB2312"/>
          <w:color w:val="auto"/>
          <w:kern w:val="2"/>
          <w:sz w:val="32"/>
          <w:szCs w:val="32"/>
          <w:highlight w:val="none"/>
          <w:u w:val="none"/>
          <w:lang w:val="en-US" w:eastAsia="zh-CN"/>
        </w:rPr>
        <w:t>为</w:t>
      </w:r>
      <w:r>
        <w:rPr>
          <w:rFonts w:hint="eastAsia" w:ascii="仿宋_GB2312" w:hAnsi="仿宋_GB2312" w:eastAsia="仿宋_GB2312" w:cs="仿宋_GB2312"/>
          <w:color w:val="auto"/>
          <w:kern w:val="2"/>
          <w:sz w:val="32"/>
          <w:szCs w:val="32"/>
          <w:highlight w:val="none"/>
          <w:u w:val="none"/>
        </w:rPr>
        <w:t>中选结果</w:t>
      </w:r>
      <w:r>
        <w:rPr>
          <w:rFonts w:hint="eastAsia" w:ascii="仿宋_GB2312" w:hAnsi="仿宋_GB2312" w:eastAsia="仿宋_GB2312" w:cs="仿宋_GB2312"/>
          <w:color w:val="auto"/>
          <w:kern w:val="2"/>
          <w:sz w:val="32"/>
          <w:szCs w:val="32"/>
          <w:highlight w:val="none"/>
          <w:u w:val="none"/>
          <w:lang w:eastAsia="zh-CN"/>
        </w:rPr>
        <w:t>。深圳交易中心</w:t>
      </w:r>
      <w:r>
        <w:rPr>
          <w:rFonts w:hint="eastAsia" w:ascii="仿宋_GB2312" w:hAnsi="仿宋_GB2312" w:eastAsia="仿宋_GB2312" w:cs="仿宋_GB2312"/>
          <w:color w:val="auto"/>
          <w:kern w:val="2"/>
          <w:sz w:val="32"/>
          <w:szCs w:val="32"/>
          <w:highlight w:val="none"/>
          <w:u w:val="none"/>
        </w:rPr>
        <w:t>将发布中选结果通知。</w:t>
      </w:r>
    </w:p>
    <w:p w14:paraId="262F74AB">
      <w:pPr>
        <w:pStyle w:val="5"/>
        <w:keepNext w:val="0"/>
        <w:keepLines w:val="0"/>
        <w:pageBreakBefore w:val="0"/>
        <w:widowControl w:val="0"/>
        <w:kinsoku/>
        <w:wordWrap/>
        <w:overflowPunct w:val="0"/>
        <w:topLinePunct w:val="0"/>
        <w:bidi w:val="0"/>
        <w:spacing w:line="560" w:lineRule="exact"/>
        <w:ind w:left="0" w:firstLine="640" w:firstLineChars="200"/>
        <w:jc w:val="both"/>
        <w:textAlignment w:val="auto"/>
        <w:outlineLvl w:val="9"/>
        <w:rPr>
          <w:rFonts w:hint="eastAsia" w:ascii="Times New Roman" w:hAnsi="Times New Roman" w:eastAsia="仿宋_GB2312" w:cs="Times New Roman"/>
          <w:color w:val="auto"/>
          <w:kern w:val="2"/>
          <w:sz w:val="32"/>
          <w:szCs w:val="32"/>
          <w:highlight w:val="none"/>
          <w:lang w:val="en-US" w:bidi="ar-SA"/>
        </w:rPr>
      </w:pPr>
      <w:bookmarkStart w:id="373" w:name="_Toc9652"/>
      <w:bookmarkStart w:id="374" w:name="_Toc27845"/>
      <w:bookmarkStart w:id="375" w:name="_Toc9285"/>
      <w:bookmarkStart w:id="376" w:name="_Toc7850"/>
      <w:bookmarkStart w:id="377" w:name="_Toc4223"/>
      <w:bookmarkStart w:id="378" w:name="_Toc28388"/>
      <w:bookmarkStart w:id="379" w:name="_Toc15193"/>
      <w:bookmarkStart w:id="380" w:name="_Toc22379"/>
      <w:bookmarkStart w:id="381" w:name="_Toc4519"/>
      <w:bookmarkStart w:id="382" w:name="_Toc6638"/>
      <w:bookmarkStart w:id="383" w:name="_Toc31079"/>
      <w:bookmarkStart w:id="384" w:name="_Toc19989"/>
      <w:bookmarkStart w:id="385" w:name="_Toc9362"/>
      <w:bookmarkStart w:id="386" w:name="_Toc8215"/>
      <w:bookmarkStart w:id="387" w:name="_Toc24987"/>
      <w:bookmarkStart w:id="388" w:name="_Toc9332"/>
      <w:bookmarkStart w:id="389" w:name="_Toc6999"/>
      <w:bookmarkStart w:id="390" w:name="_Toc9938"/>
      <w:r>
        <w:rPr>
          <w:rFonts w:hint="eastAsia" w:ascii="仿宋_GB2312" w:hAnsi="仿宋_GB2312" w:eastAsia="仿宋_GB2312" w:cs="仿宋_GB2312"/>
          <w:color w:val="auto"/>
          <w:kern w:val="2"/>
          <w:sz w:val="32"/>
          <w:szCs w:val="32"/>
          <w:highlight w:val="none"/>
          <w:lang w:val="en-US" w:eastAsia="zh-CN" w:bidi="ar-SA"/>
        </w:rPr>
        <w:t>2.中选企业</w:t>
      </w:r>
      <w:r>
        <w:rPr>
          <w:rFonts w:hint="eastAsia" w:ascii="仿宋_GB2312" w:hAnsi="仿宋_GB2312" w:eastAsia="仿宋_GB2312" w:cs="仿宋_GB2312"/>
          <w:color w:val="auto"/>
          <w:kern w:val="2"/>
          <w:sz w:val="32"/>
          <w:szCs w:val="32"/>
          <w:highlight w:val="none"/>
          <w:lang w:val="en-US" w:bidi="ar-SA"/>
        </w:rPr>
        <w:t>被</w:t>
      </w:r>
      <w:r>
        <w:rPr>
          <w:rFonts w:hint="eastAsia" w:ascii="仿宋_GB2312" w:hAnsi="仿宋_GB2312" w:eastAsia="仿宋_GB2312" w:cs="仿宋_GB2312"/>
          <w:color w:val="auto"/>
          <w:kern w:val="2"/>
          <w:sz w:val="32"/>
          <w:szCs w:val="32"/>
          <w:highlight w:val="none"/>
          <w:lang w:val="en-US" w:eastAsia="zh-CN" w:bidi="ar-SA"/>
        </w:rPr>
        <w:t>具体广东省</w:t>
      </w:r>
      <w:r>
        <w:rPr>
          <w:rFonts w:hint="eastAsia" w:ascii="仿宋_GB2312" w:hAnsi="仿宋_GB2312" w:eastAsia="仿宋_GB2312" w:cs="仿宋_GB2312"/>
          <w:color w:val="auto"/>
          <w:kern w:val="2"/>
          <w:sz w:val="32"/>
          <w:szCs w:val="32"/>
          <w:highlight w:val="none"/>
          <w:lang w:val="en-US" w:bidi="ar-SA"/>
        </w:rPr>
        <w:t>依据医药价格和招采信用评价制度评定为“特别严重”失信等级</w:t>
      </w:r>
      <w:r>
        <w:rPr>
          <w:rFonts w:hint="eastAsia" w:ascii="仿宋_GB2312" w:hAnsi="仿宋_GB2312" w:eastAsia="仿宋_GB2312" w:cs="仿宋_GB2312"/>
          <w:color w:val="auto"/>
          <w:kern w:val="2"/>
          <w:sz w:val="32"/>
          <w:szCs w:val="32"/>
          <w:highlight w:val="none"/>
          <w:lang w:val="en-US" w:eastAsia="zh-CN" w:bidi="ar-SA"/>
        </w:rPr>
        <w:t>，或</w:t>
      </w:r>
      <w:r>
        <w:rPr>
          <w:rFonts w:hint="eastAsia" w:ascii="仿宋_GB2312" w:hAnsi="仿宋_GB2312" w:eastAsia="仿宋_GB2312" w:cs="仿宋_GB2312"/>
          <w:color w:val="auto"/>
          <w:kern w:val="2"/>
          <w:sz w:val="32"/>
          <w:szCs w:val="32"/>
          <w:highlight w:val="none"/>
          <w:lang w:val="en-US" w:bidi="ar-SA"/>
        </w:rPr>
        <w:t>中选产品被</w:t>
      </w:r>
      <w:r>
        <w:rPr>
          <w:rFonts w:hint="eastAsia" w:ascii="仿宋_GB2312" w:hAnsi="仿宋_GB2312" w:eastAsia="仿宋_GB2312" w:cs="仿宋_GB2312"/>
          <w:color w:val="auto"/>
          <w:kern w:val="2"/>
          <w:sz w:val="32"/>
          <w:szCs w:val="32"/>
          <w:highlight w:val="none"/>
          <w:lang w:val="en-US" w:eastAsia="zh-CN" w:bidi="ar-SA"/>
        </w:rPr>
        <w:t>广东省</w:t>
      </w:r>
      <w:r>
        <w:rPr>
          <w:rFonts w:hint="eastAsia" w:ascii="仿宋_GB2312" w:hAnsi="仿宋_GB2312" w:eastAsia="仿宋_GB2312" w:cs="仿宋_GB2312"/>
          <w:color w:val="auto"/>
          <w:kern w:val="2"/>
          <w:sz w:val="32"/>
          <w:szCs w:val="32"/>
          <w:highlight w:val="none"/>
          <w:lang w:val="en-US" w:bidi="ar-SA"/>
        </w:rPr>
        <w:t>依据医药价格和招采信用评价制度评定为“严重”失信等级的，取消相关企业或产品的中选</w:t>
      </w:r>
      <w:r>
        <w:rPr>
          <w:rFonts w:hint="eastAsia" w:ascii="仿宋_GB2312" w:hAnsi="仿宋_GB2312" w:eastAsia="仿宋_GB2312" w:cs="仿宋_GB2312"/>
          <w:color w:val="auto"/>
          <w:kern w:val="2"/>
          <w:sz w:val="32"/>
          <w:szCs w:val="32"/>
          <w:highlight w:val="none"/>
          <w:lang w:val="en-US" w:eastAsia="zh-CN" w:bidi="ar-SA"/>
        </w:rPr>
        <w:t>资格</w:t>
      </w:r>
      <w:r>
        <w:rPr>
          <w:rFonts w:hint="eastAsia" w:ascii="仿宋_GB2312" w:hAnsi="仿宋_GB2312" w:eastAsia="仿宋_GB2312" w:cs="仿宋_GB2312"/>
          <w:color w:val="auto"/>
          <w:kern w:val="2"/>
          <w:sz w:val="32"/>
          <w:szCs w:val="32"/>
          <w:highlight w:val="none"/>
          <w:lang w:val="en-US" w:bidi="ar-SA"/>
        </w:rPr>
        <w:t>。</w:t>
      </w:r>
      <w:bookmarkEnd w:id="373"/>
    </w:p>
    <w:p w14:paraId="0681FA94">
      <w:pPr>
        <w:pStyle w:val="5"/>
        <w:keepNext w:val="0"/>
        <w:keepLines w:val="0"/>
        <w:pageBreakBefore w:val="0"/>
        <w:widowControl w:val="0"/>
        <w:kinsoku/>
        <w:wordWrap/>
        <w:overflowPunct w:val="0"/>
        <w:topLinePunct w:val="0"/>
        <w:bidi w:val="0"/>
        <w:spacing w:line="560" w:lineRule="exact"/>
        <w:ind w:left="0" w:firstLine="640" w:firstLineChars="200"/>
        <w:jc w:val="both"/>
        <w:textAlignment w:val="auto"/>
        <w:outlineLvl w:val="1"/>
        <w:rPr>
          <w:rFonts w:hint="eastAsia" w:ascii="黑体" w:hAnsi="黑体" w:eastAsia="黑体" w:cs="黑体"/>
          <w:color w:val="auto"/>
          <w:kern w:val="2"/>
          <w:sz w:val="32"/>
          <w:szCs w:val="32"/>
          <w:highlight w:val="none"/>
          <w:u w:val="none"/>
          <w:lang w:val="en-US" w:eastAsia="zh-CN"/>
        </w:rPr>
      </w:pPr>
      <w:bookmarkStart w:id="391" w:name="_Toc11710"/>
      <w:bookmarkStart w:id="392" w:name="_Toc25678"/>
      <w:r>
        <w:rPr>
          <w:rFonts w:hint="eastAsia" w:ascii="黑体" w:hAnsi="黑体" w:eastAsia="黑体" w:cs="黑体"/>
          <w:color w:val="auto"/>
          <w:kern w:val="2"/>
          <w:sz w:val="32"/>
          <w:szCs w:val="32"/>
          <w:highlight w:val="none"/>
          <w:u w:val="none"/>
          <w:lang w:val="en-US" w:eastAsia="zh-CN"/>
        </w:rPr>
        <w:t>六、</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Pr>
          <w:rFonts w:hint="eastAsia" w:ascii="黑体" w:hAnsi="黑体" w:eastAsia="黑体" w:cs="黑体"/>
          <w:color w:val="auto"/>
          <w:kern w:val="2"/>
          <w:sz w:val="32"/>
          <w:szCs w:val="32"/>
          <w:highlight w:val="none"/>
          <w:u w:val="none"/>
          <w:lang w:val="en-US" w:eastAsia="zh-CN"/>
        </w:rPr>
        <w:t>填报首年协议采购量</w:t>
      </w:r>
      <w:bookmarkEnd w:id="392"/>
    </w:p>
    <w:p w14:paraId="21D1C12B">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中选结果公布后，组织广东省医疗机构参考历史用量和临床实际，在广东省招采子系统以报价单元为单位进行报量。原则上</w:t>
      </w:r>
      <w:r>
        <w:rPr>
          <w:rFonts w:hint="eastAsia" w:ascii="仿宋_GB2312" w:hAnsi="仿宋_GB2312" w:eastAsia="仿宋_GB2312" w:cs="仿宋_GB2312"/>
          <w:color w:val="auto"/>
          <w:kern w:val="2"/>
          <w:sz w:val="32"/>
          <w:szCs w:val="32"/>
          <w:highlight w:val="none"/>
          <w:u w:val="none"/>
          <w:lang w:val="en-US" w:eastAsia="zh-CN"/>
        </w:rPr>
        <w:t>各</w:t>
      </w:r>
      <w:r>
        <w:rPr>
          <w:rFonts w:hint="eastAsia" w:ascii="仿宋_GB2312" w:hAnsi="仿宋_GB2312" w:eastAsia="仿宋_GB2312" w:cs="仿宋_GB2312"/>
          <w:color w:val="auto"/>
          <w:kern w:val="2"/>
          <w:sz w:val="32"/>
          <w:szCs w:val="32"/>
          <w:highlight w:val="none"/>
          <w:lang w:val="en-US" w:eastAsia="zh-CN" w:bidi="ar-SA"/>
        </w:rPr>
        <w:t>医疗机构</w:t>
      </w:r>
      <w:r>
        <w:rPr>
          <w:rFonts w:hint="eastAsia" w:ascii="仿宋_GB2312" w:hAnsi="仿宋_GB2312" w:eastAsia="仿宋_GB2312" w:cs="仿宋_GB2312"/>
          <w:color w:val="auto"/>
          <w:kern w:val="2"/>
          <w:sz w:val="32"/>
          <w:szCs w:val="32"/>
          <w:highlight w:val="none"/>
          <w:u w:val="none"/>
        </w:rPr>
        <w:t>总采购需求量</w:t>
      </w:r>
      <w:r>
        <w:rPr>
          <w:rFonts w:hint="eastAsia" w:ascii="仿宋_GB2312" w:hAnsi="仿宋_GB2312" w:eastAsia="仿宋_GB2312" w:cs="仿宋_GB2312"/>
          <w:color w:val="auto"/>
          <w:kern w:val="2"/>
          <w:sz w:val="32"/>
          <w:szCs w:val="32"/>
          <w:highlight w:val="none"/>
          <w:u w:val="none"/>
          <w:lang w:val="en-US" w:eastAsia="zh-CN"/>
        </w:rPr>
        <w:t>不得少于其上一年度该品种总采购量的70%。审核通过后的医疗机构总采购需求量为其首年协议采购量</w:t>
      </w:r>
      <w:r>
        <w:rPr>
          <w:rFonts w:hint="eastAsia" w:ascii="仿宋_GB2312" w:hAnsi="仿宋_GB2312" w:eastAsia="仿宋_GB2312" w:cs="仿宋_GB2312"/>
          <w:color w:val="auto"/>
          <w:kern w:val="2"/>
          <w:sz w:val="32"/>
          <w:szCs w:val="32"/>
          <w:highlight w:val="none"/>
          <w:u w:val="none"/>
        </w:rPr>
        <w:t>。</w:t>
      </w:r>
    </w:p>
    <w:bookmarkEnd w:id="324"/>
    <w:bookmarkEnd w:id="325"/>
    <w:bookmarkEnd w:id="326"/>
    <w:bookmarkEnd w:id="327"/>
    <w:p w14:paraId="0DF46051">
      <w:pPr>
        <w:keepNext w:val="0"/>
        <w:keepLines w:val="0"/>
        <w:pageBreakBefore w:val="0"/>
        <w:widowControl w:val="0"/>
        <w:kinsoku/>
        <w:wordWrap/>
        <w:topLinePunct w:val="0"/>
        <w:bidi w:val="0"/>
        <w:spacing w:line="560" w:lineRule="exact"/>
        <w:ind w:left="0" w:firstLine="640" w:firstLineChars="200"/>
        <w:jc w:val="both"/>
        <w:textAlignment w:val="auto"/>
        <w:outlineLvl w:val="1"/>
        <w:rPr>
          <w:rFonts w:ascii="黑体" w:hAnsi="黑体" w:eastAsia="黑体" w:cs="黑体"/>
          <w:color w:val="auto"/>
          <w:kern w:val="2"/>
          <w:sz w:val="32"/>
          <w:szCs w:val="32"/>
          <w:highlight w:val="none"/>
          <w:u w:val="none"/>
        </w:rPr>
      </w:pPr>
      <w:bookmarkStart w:id="393" w:name="_Toc29761"/>
      <w:bookmarkStart w:id="394" w:name="_Toc12672"/>
      <w:bookmarkStart w:id="395" w:name="_Toc17177"/>
      <w:bookmarkStart w:id="396" w:name="_Toc3612"/>
      <w:bookmarkStart w:id="397" w:name="_Toc25535"/>
      <w:bookmarkStart w:id="398" w:name="_Toc15031"/>
      <w:bookmarkStart w:id="399" w:name="_Toc3795"/>
      <w:bookmarkStart w:id="400" w:name="_Toc9958"/>
      <w:bookmarkStart w:id="401" w:name="_Toc19585"/>
      <w:r>
        <w:rPr>
          <w:rFonts w:hint="eastAsia" w:ascii="黑体" w:hAnsi="黑体" w:eastAsia="黑体" w:cs="黑体"/>
          <w:color w:val="auto"/>
          <w:kern w:val="2"/>
          <w:sz w:val="32"/>
          <w:szCs w:val="32"/>
          <w:highlight w:val="none"/>
          <w:u w:val="none"/>
          <w:lang w:val="en-US" w:eastAsia="zh-CN"/>
        </w:rPr>
        <w:t>七</w:t>
      </w:r>
      <w:r>
        <w:rPr>
          <w:rFonts w:hint="eastAsia" w:ascii="黑体" w:hAnsi="黑体" w:eastAsia="黑体" w:cs="黑体"/>
          <w:color w:val="auto"/>
          <w:kern w:val="2"/>
          <w:sz w:val="32"/>
          <w:szCs w:val="32"/>
          <w:highlight w:val="none"/>
          <w:u w:val="none"/>
        </w:rPr>
        <w:t>、采购协议</w:t>
      </w:r>
      <w:bookmarkEnd w:id="393"/>
      <w:bookmarkEnd w:id="394"/>
      <w:bookmarkEnd w:id="395"/>
      <w:bookmarkEnd w:id="396"/>
      <w:bookmarkEnd w:id="397"/>
      <w:bookmarkEnd w:id="398"/>
      <w:bookmarkEnd w:id="399"/>
      <w:bookmarkEnd w:id="400"/>
      <w:bookmarkEnd w:id="401"/>
    </w:p>
    <w:p w14:paraId="1A87039B">
      <w:pPr>
        <w:keepNext w:val="0"/>
        <w:keepLines w:val="0"/>
        <w:pageBreakBefore w:val="0"/>
        <w:widowControl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u w:val="none"/>
          <w:lang w:val="en-US" w:bidi="ar-SA"/>
        </w:rPr>
      </w:pPr>
      <w:bookmarkStart w:id="402" w:name="_Hlk104735427"/>
      <w:bookmarkStart w:id="403" w:name="_Hlk104735499"/>
      <w:bookmarkStart w:id="404" w:name="_Toc2408"/>
      <w:bookmarkStart w:id="405" w:name="_Toc26833"/>
      <w:bookmarkStart w:id="406" w:name="_Toc16546"/>
      <w:bookmarkStart w:id="407" w:name="_Toc19250"/>
      <w:r>
        <w:rPr>
          <w:rFonts w:hint="eastAsia" w:ascii="仿宋_GB2312" w:hAnsi="仿宋_GB2312" w:eastAsia="仿宋_GB2312" w:cs="仿宋_GB2312"/>
          <w:color w:val="auto"/>
          <w:sz w:val="32"/>
          <w:szCs w:val="32"/>
          <w:highlight w:val="none"/>
          <w:u w:val="none"/>
        </w:rPr>
        <w:t>（一）</w:t>
      </w:r>
      <w:r>
        <w:rPr>
          <w:rFonts w:hint="eastAsia" w:ascii="仿宋_GB2312" w:hAnsi="仿宋_GB2312" w:eastAsia="仿宋_GB2312" w:cs="仿宋_GB2312"/>
          <w:color w:val="auto"/>
          <w:sz w:val="32"/>
          <w:szCs w:val="32"/>
          <w:highlight w:val="none"/>
          <w:u w:val="none"/>
          <w:lang w:val="en-US" w:eastAsia="zh-CN"/>
        </w:rPr>
        <w:t>深圳交易中心发布中选结果通知后，广东省内各采购平台应按照中选产品及其价格及时完成挂网工作，并组织中选企业和配送企业完成配送关系的维护等工作。自中选结果执行之日起，省内各采购平台应关闭本次密网支架带量联动采购中选产品的历史购销合同采购下单功能。重新签订购销合同（附件2）并严格执行。</w:t>
      </w:r>
    </w:p>
    <w:p w14:paraId="300A55F5">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（二）采购协议签订后，医疗机构与</w:t>
      </w:r>
      <w:r>
        <w:rPr>
          <w:rFonts w:hint="eastAsia" w:ascii="仿宋_GB2312" w:hAnsi="仿宋_GB2312" w:eastAsia="仿宋_GB2312" w:cs="仿宋_GB2312"/>
          <w:color w:val="auto"/>
          <w:sz w:val="32"/>
          <w:szCs w:val="32"/>
          <w:highlight w:val="none"/>
          <w:u w:val="none"/>
          <w:lang w:eastAsia="zh-CN"/>
        </w:rPr>
        <w:t>中选企业</w:t>
      </w:r>
      <w:r>
        <w:rPr>
          <w:rFonts w:hint="eastAsia" w:ascii="仿宋_GB2312" w:hAnsi="仿宋_GB2312" w:eastAsia="仿宋_GB2312" w:cs="仿宋_GB2312"/>
          <w:color w:val="auto"/>
          <w:sz w:val="32"/>
          <w:szCs w:val="32"/>
          <w:highlight w:val="none"/>
          <w:u w:val="none"/>
        </w:rPr>
        <w:t>不得再订立背离采购协议实质性内容的其他协议，或提出除采购协议之外的任何利益性要求。</w:t>
      </w:r>
    </w:p>
    <w:p w14:paraId="15688CFE">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（三）医保定点社会办医疗机构的采购量由供需双方按约定执行。</w:t>
      </w:r>
    </w:p>
    <w:p w14:paraId="2E185F75">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（四）</w:t>
      </w:r>
      <w:r>
        <w:rPr>
          <w:rFonts w:hint="eastAsia" w:ascii="仿宋_GB2312" w:hAnsi="仿宋_GB2312" w:eastAsia="仿宋_GB2312" w:cs="仿宋_GB2312"/>
          <w:color w:val="auto"/>
          <w:sz w:val="32"/>
          <w:szCs w:val="32"/>
          <w:highlight w:val="none"/>
          <w:u w:val="none"/>
          <w:lang w:val="en-US" w:eastAsia="zh-CN"/>
        </w:rPr>
        <w:t>采购周</w:t>
      </w:r>
      <w:r>
        <w:rPr>
          <w:rFonts w:hint="eastAsia" w:ascii="仿宋_GB2312" w:hAnsi="仿宋_GB2312" w:eastAsia="仿宋_GB2312" w:cs="仿宋_GB2312"/>
          <w:color w:val="auto"/>
          <w:sz w:val="32"/>
          <w:szCs w:val="32"/>
          <w:highlight w:val="none"/>
          <w:u w:val="none"/>
          <w:lang w:eastAsia="zh-CN"/>
        </w:rPr>
        <w:t>期</w:t>
      </w:r>
      <w:r>
        <w:rPr>
          <w:rFonts w:hint="eastAsia" w:ascii="仿宋_GB2312" w:hAnsi="仿宋_GB2312" w:eastAsia="仿宋_GB2312" w:cs="仿宋_GB2312"/>
          <w:color w:val="auto"/>
          <w:sz w:val="32"/>
          <w:szCs w:val="32"/>
          <w:highlight w:val="none"/>
          <w:u w:val="none"/>
        </w:rPr>
        <w:t>内</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医疗机构应确保完成约定采购量，并按照以季度填报的采购计划完成序时进度任务</w:t>
      </w:r>
      <w:bookmarkEnd w:id="402"/>
      <w:bookmarkEnd w:id="403"/>
      <w:r>
        <w:rPr>
          <w:rFonts w:hint="eastAsia" w:ascii="仿宋_GB2312" w:hAnsi="仿宋_GB2312" w:eastAsia="仿宋_GB2312" w:cs="仿宋_GB2312"/>
          <w:color w:val="auto"/>
          <w:sz w:val="32"/>
          <w:szCs w:val="32"/>
          <w:highlight w:val="none"/>
          <w:u w:val="none"/>
        </w:rPr>
        <w:t>。</w:t>
      </w:r>
    </w:p>
    <w:p w14:paraId="29748569">
      <w:pPr>
        <w:pStyle w:val="18"/>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五</w:t>
      </w:r>
      <w:r>
        <w:rPr>
          <w:rFonts w:hint="eastAsia" w:ascii="仿宋_GB2312" w:hAnsi="仿宋_GB2312" w:eastAsia="仿宋_GB2312" w:cs="仿宋_GB2312"/>
          <w:color w:val="auto"/>
          <w:sz w:val="32"/>
          <w:szCs w:val="32"/>
          <w:highlight w:val="none"/>
          <w:u w:val="none"/>
          <w:lang w:eastAsia="zh-CN"/>
        </w:rPr>
        <w:t>）中选企业是保障</w:t>
      </w:r>
      <w:r>
        <w:rPr>
          <w:rFonts w:hint="eastAsia" w:ascii="仿宋_GB2312" w:hAnsi="仿宋_GB2312" w:eastAsia="仿宋_GB2312" w:cs="仿宋_GB2312"/>
          <w:color w:val="auto"/>
          <w:sz w:val="32"/>
          <w:szCs w:val="32"/>
          <w:highlight w:val="none"/>
          <w:u w:val="none"/>
          <w:lang w:val="en-US" w:eastAsia="zh-CN"/>
        </w:rPr>
        <w:t>中选产品产品</w:t>
      </w:r>
      <w:r>
        <w:rPr>
          <w:rFonts w:hint="eastAsia" w:ascii="仿宋_GB2312" w:hAnsi="仿宋_GB2312" w:eastAsia="仿宋_GB2312" w:cs="仿宋_GB2312"/>
          <w:color w:val="auto"/>
          <w:sz w:val="32"/>
          <w:szCs w:val="32"/>
          <w:highlight w:val="none"/>
          <w:u w:val="none"/>
          <w:lang w:eastAsia="zh-CN"/>
        </w:rPr>
        <w:t>供应的第一责任人，对本企业</w:t>
      </w:r>
      <w:r>
        <w:rPr>
          <w:rFonts w:hint="eastAsia" w:ascii="仿宋_GB2312" w:hAnsi="仿宋_GB2312" w:eastAsia="仿宋_GB2312" w:cs="仿宋_GB2312"/>
          <w:color w:val="auto"/>
          <w:sz w:val="32"/>
          <w:szCs w:val="32"/>
          <w:highlight w:val="none"/>
          <w:u w:val="none"/>
          <w:lang w:val="en-US" w:eastAsia="zh-CN"/>
        </w:rPr>
        <w:t>中选产品</w:t>
      </w:r>
      <w:r>
        <w:rPr>
          <w:rFonts w:hint="eastAsia" w:ascii="仿宋_GB2312" w:hAnsi="仿宋_GB2312" w:eastAsia="仿宋_GB2312" w:cs="仿宋_GB2312"/>
          <w:color w:val="auto"/>
          <w:sz w:val="32"/>
          <w:szCs w:val="32"/>
          <w:highlight w:val="none"/>
          <w:u w:val="none"/>
          <w:lang w:eastAsia="zh-CN"/>
        </w:rPr>
        <w:t>的质量和配送服务负主体责任，并按照</w:t>
      </w:r>
      <w:r>
        <w:rPr>
          <w:rFonts w:hint="eastAsia" w:ascii="仿宋_GB2312" w:hAnsi="仿宋_GB2312" w:eastAsia="仿宋_GB2312" w:cs="仿宋_GB2312"/>
          <w:color w:val="auto"/>
          <w:sz w:val="32"/>
          <w:szCs w:val="32"/>
          <w:highlight w:val="none"/>
          <w:u w:val="none"/>
          <w:lang w:val="en-US" w:eastAsia="zh-CN"/>
        </w:rPr>
        <w:t>采购协议中</w:t>
      </w:r>
      <w:r>
        <w:rPr>
          <w:rFonts w:hint="eastAsia" w:ascii="仿宋_GB2312" w:hAnsi="仿宋_GB2312" w:eastAsia="仿宋_GB2312" w:cs="仿宋_GB2312"/>
          <w:color w:val="auto"/>
          <w:sz w:val="32"/>
          <w:szCs w:val="32"/>
          <w:highlight w:val="none"/>
          <w:u w:val="none"/>
          <w:lang w:eastAsia="zh-CN"/>
        </w:rPr>
        <w:t>以季度填报的采购计划</w:t>
      </w:r>
      <w:r>
        <w:rPr>
          <w:rFonts w:hint="eastAsia" w:ascii="仿宋_GB2312" w:hAnsi="仿宋_GB2312" w:eastAsia="仿宋_GB2312" w:cs="仿宋_GB2312"/>
          <w:color w:val="auto"/>
          <w:sz w:val="32"/>
          <w:szCs w:val="32"/>
          <w:highlight w:val="none"/>
          <w:u w:val="none"/>
          <w:lang w:val="en-US" w:eastAsia="zh-CN"/>
        </w:rPr>
        <w:t>保障</w:t>
      </w:r>
      <w:r>
        <w:rPr>
          <w:rFonts w:hint="eastAsia" w:ascii="仿宋_GB2312" w:hAnsi="仿宋_GB2312" w:eastAsia="仿宋_GB2312" w:cs="仿宋_GB2312"/>
          <w:color w:val="auto"/>
          <w:sz w:val="32"/>
          <w:szCs w:val="32"/>
          <w:highlight w:val="none"/>
          <w:u w:val="none"/>
          <w:lang w:eastAsia="zh-CN"/>
        </w:rPr>
        <w:t>供应。</w:t>
      </w:r>
    </w:p>
    <w:p w14:paraId="7E114A1E">
      <w:pPr>
        <w:keepNext w:val="0"/>
        <w:keepLines w:val="0"/>
        <w:pageBreakBefore w:val="0"/>
        <w:widowControl w:val="0"/>
        <w:kinsoku/>
        <w:wordWrap w:val="0"/>
        <w:topLinePunct w:val="0"/>
        <w:autoSpaceDE/>
        <w:autoSpaceDN/>
        <w:bidi w:val="0"/>
        <w:adjustRightInd w:val="0"/>
        <w:snapToGrid w:val="0"/>
        <w:spacing w:line="560" w:lineRule="exact"/>
        <w:ind w:left="0" w:firstLine="640" w:firstLineChars="200"/>
        <w:jc w:val="both"/>
        <w:textAlignment w:val="auto"/>
        <w:outlineLvl w:val="9"/>
        <w:rPr>
          <w:rFonts w:hint="default" w:ascii="仿宋_GB2312" w:hAnsi="仿宋_GB2312" w:eastAsia="仿宋_GB2312" w:cs="仿宋_GB2312"/>
          <w:color w:val="auto"/>
          <w:sz w:val="32"/>
          <w:szCs w:val="32"/>
          <w:highlight w:val="none"/>
          <w:u w:val="none"/>
          <w:lang w:val="en-US" w:eastAsia="zh-CN"/>
        </w:rPr>
      </w:pPr>
      <w:bookmarkStart w:id="408" w:name="_Toc24276"/>
      <w:bookmarkStart w:id="409" w:name="_Toc15581"/>
      <w:bookmarkStart w:id="410" w:name="_Toc17237"/>
      <w:bookmarkStart w:id="411" w:name="_Toc10205"/>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六</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采购周期内，属于已中选注册证的非中选产品，接受同注册证中选价格的，可作为中选产品挂网并共享该采购年度内同注册证的协议采购量；不属于已中选注册证的</w:t>
      </w:r>
      <w:r>
        <w:rPr>
          <w:rFonts w:ascii="仿宋_GB2312" w:hAnsi="宋体" w:eastAsia="仿宋_GB2312" w:cs="仿宋_GB2312"/>
          <w:color w:val="auto"/>
          <w:kern w:val="0"/>
          <w:sz w:val="32"/>
          <w:szCs w:val="32"/>
          <w:highlight w:val="none"/>
          <w:lang w:val="en-US" w:eastAsia="zh-CN" w:bidi="ar"/>
        </w:rPr>
        <w:t>非中选产品</w:t>
      </w:r>
      <w:r>
        <w:rPr>
          <w:rFonts w:hint="eastAsia" w:ascii="仿宋_GB2312" w:hAnsi="仿宋_GB2312" w:eastAsia="仿宋_GB2312" w:cs="仿宋_GB2312"/>
          <w:color w:val="auto"/>
          <w:sz w:val="32"/>
          <w:szCs w:val="32"/>
          <w:highlight w:val="none"/>
          <w:u w:val="none"/>
          <w:lang w:val="en-US" w:eastAsia="zh-CN"/>
        </w:rPr>
        <w:t>，申报价格</w:t>
      </w:r>
      <w:r>
        <w:rPr>
          <w:rFonts w:hint="eastAsia" w:ascii="仿宋_GB2312" w:hAnsi="仿宋_GB2312" w:eastAsia="仿宋_GB2312" w:cs="仿宋_GB2312"/>
          <w:color w:val="auto"/>
          <w:sz w:val="32"/>
          <w:szCs w:val="32"/>
          <w:highlight w:val="none"/>
          <w:u w:val="none"/>
        </w:rPr>
        <w:t>不高于所有中选价格的中位数、自身带量最低价和自身非带量最低价三者低值的</w:t>
      </w:r>
      <w:r>
        <w:rPr>
          <w:rFonts w:hint="eastAsia" w:ascii="仿宋_GB2312" w:hAnsi="仿宋_GB2312" w:eastAsia="仿宋_GB2312" w:cs="仿宋_GB2312"/>
          <w:color w:val="auto"/>
          <w:sz w:val="32"/>
          <w:szCs w:val="32"/>
          <w:highlight w:val="none"/>
          <w:u w:val="none"/>
          <w:lang w:val="en-US" w:eastAsia="zh-CN"/>
        </w:rPr>
        <w:t>，可作为中选产品挂网，但该采购年度内无协议采购量；申报价格仅符合广东省挂网要求的，可以非中选身份在广东省挂网交易。不符合上述要求的，暂不予挂网。</w:t>
      </w:r>
    </w:p>
    <w:p w14:paraId="70B4D916">
      <w:pPr>
        <w:pStyle w:val="18"/>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_GB2312" w:hAnsi="仿宋_GB2312" w:eastAsia="仿宋_GB2312" w:cs="仿宋_GB2312"/>
          <w:color w:val="auto"/>
          <w:kern w:val="2"/>
          <w:sz w:val="32"/>
          <w:szCs w:val="32"/>
          <w:highlight w:val="none"/>
          <w:u w:val="none"/>
          <w:lang w:val="en-US" w:eastAsia="zh-CN"/>
        </w:rPr>
      </w:pPr>
      <w:r>
        <w:rPr>
          <w:rFonts w:hint="eastAsia" w:ascii="仿宋_GB2312" w:hAnsi="仿宋_GB2312" w:eastAsia="仿宋_GB2312" w:cs="仿宋_GB2312"/>
          <w:b/>
          <w:bCs/>
          <w:color w:val="auto"/>
          <w:kern w:val="2"/>
          <w:sz w:val="32"/>
          <w:szCs w:val="32"/>
          <w:highlight w:val="none"/>
          <w:u w:val="none"/>
          <w:lang w:val="en-US" w:eastAsia="zh-CN"/>
        </w:rPr>
        <w:t>名词解释：</w:t>
      </w:r>
    </w:p>
    <w:p w14:paraId="33737691">
      <w:pPr>
        <w:keepNext w:val="0"/>
        <w:keepLines w:val="0"/>
        <w:pageBreakBefore w:val="0"/>
        <w:widowControl/>
        <w:kinsoku/>
        <w:wordWrap/>
        <w:topLinePunct w:val="0"/>
        <w:autoSpaceDE/>
        <w:autoSpaceDN/>
        <w:bidi w:val="0"/>
        <w:adjustRightInd/>
        <w:snapToGrid/>
        <w:spacing w:line="560" w:lineRule="exact"/>
        <w:ind w:left="0" w:firstLine="643"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kern w:val="2"/>
          <w:sz w:val="32"/>
          <w:szCs w:val="32"/>
          <w:highlight w:val="none"/>
          <w:u w:val="none"/>
          <w:lang w:val="en-US" w:eastAsia="zh-CN"/>
        </w:rPr>
        <w:t>非中选产品</w:t>
      </w:r>
      <w:r>
        <w:rPr>
          <w:rFonts w:hint="eastAsia" w:ascii="仿宋_GB2312" w:hAnsi="仿宋_GB2312" w:eastAsia="仿宋_GB2312" w:cs="仿宋_GB2312"/>
          <w:color w:val="auto"/>
          <w:kern w:val="2"/>
          <w:sz w:val="32"/>
          <w:szCs w:val="32"/>
          <w:highlight w:val="none"/>
          <w:u w:val="none"/>
          <w:lang w:val="en-US" w:eastAsia="zh-CN"/>
        </w:rPr>
        <w:t>是指属于本次</w:t>
      </w:r>
      <w:r>
        <w:rPr>
          <w:rFonts w:hint="eastAsia" w:ascii="仿宋_GB2312" w:hAnsi="仿宋_GB2312" w:eastAsia="仿宋_GB2312" w:cs="仿宋_GB2312"/>
          <w:color w:val="auto"/>
          <w:sz w:val="32"/>
          <w:szCs w:val="32"/>
          <w:highlight w:val="none"/>
          <w:u w:val="none"/>
          <w:lang w:eastAsia="zh-CN"/>
        </w:rPr>
        <w:t>密网支架带量联动采购</w:t>
      </w:r>
      <w:r>
        <w:rPr>
          <w:rFonts w:hint="eastAsia" w:ascii="仿宋_GB2312" w:hAnsi="仿宋_GB2312" w:eastAsia="仿宋_GB2312" w:cs="仿宋_GB2312"/>
          <w:color w:val="auto"/>
          <w:kern w:val="2"/>
          <w:sz w:val="32"/>
          <w:szCs w:val="32"/>
          <w:highlight w:val="none"/>
          <w:u w:val="none"/>
          <w:lang w:val="en-US" w:eastAsia="zh-CN"/>
        </w:rPr>
        <w:t>范围内，但未获得中选资格的产品，具体包括未报名产品、报名未报价产品和报价未中选产品、</w:t>
      </w:r>
      <w:r>
        <w:rPr>
          <w:rFonts w:hint="eastAsia" w:ascii="仿宋_GB2312" w:hAnsi="仿宋_GB2312" w:eastAsia="仿宋_GB2312" w:cs="仿宋_GB2312"/>
          <w:color w:val="auto"/>
          <w:sz w:val="32"/>
          <w:szCs w:val="32"/>
          <w:highlight w:val="none"/>
          <w:u w:val="none"/>
        </w:rPr>
        <w:t>新获批的产品</w:t>
      </w:r>
      <w:r>
        <w:rPr>
          <w:rFonts w:hint="eastAsia" w:ascii="仿宋_GB2312" w:hAnsi="仿宋_GB2312" w:eastAsia="仿宋_GB2312" w:cs="仿宋_GB2312"/>
          <w:color w:val="auto"/>
          <w:kern w:val="2"/>
          <w:sz w:val="32"/>
          <w:szCs w:val="32"/>
          <w:highlight w:val="none"/>
          <w:u w:val="none"/>
          <w:lang w:val="en-US" w:eastAsia="zh-CN"/>
        </w:rPr>
        <w:t>等。</w:t>
      </w:r>
    </w:p>
    <w:p w14:paraId="1607B3C4">
      <w:pPr>
        <w:keepNext w:val="0"/>
        <w:keepLines w:val="0"/>
        <w:pageBreakBefore w:val="0"/>
        <w:widowControl w:val="0"/>
        <w:kinsoku/>
        <w:wordWrap w:val="0"/>
        <w:topLinePunct w:val="0"/>
        <w:autoSpaceDE/>
        <w:autoSpaceDN/>
        <w:bidi w:val="0"/>
        <w:adjustRightInd w:val="0"/>
        <w:snapToGrid w:val="0"/>
        <w:spacing w:line="560" w:lineRule="exact"/>
        <w:ind w:left="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七</w:t>
      </w:r>
      <w:r>
        <w:rPr>
          <w:rFonts w:hint="eastAsia" w:ascii="仿宋_GB2312" w:hAnsi="仿宋_GB2312" w:eastAsia="仿宋_GB2312" w:cs="仿宋_GB2312"/>
          <w:color w:val="auto"/>
          <w:sz w:val="32"/>
          <w:szCs w:val="32"/>
          <w:highlight w:val="none"/>
          <w:u w:val="none"/>
          <w:lang w:eastAsia="zh-CN"/>
        </w:rPr>
        <w:t>）采购周期结束后，中选企业可以在规定时间内向深圳交易中心提出申请，经审核同意后撤销</w:t>
      </w:r>
      <w:r>
        <w:rPr>
          <w:rFonts w:hint="eastAsia" w:ascii="仿宋_GB2312" w:hAnsi="仿宋_GB2312" w:eastAsia="仿宋_GB2312" w:cs="仿宋_GB2312"/>
          <w:color w:val="auto"/>
          <w:sz w:val="32"/>
          <w:szCs w:val="32"/>
          <w:highlight w:val="none"/>
          <w:u w:val="none"/>
          <w:lang w:val="en-US" w:eastAsia="zh-CN"/>
        </w:rPr>
        <w:t>相关</w:t>
      </w:r>
      <w:r>
        <w:rPr>
          <w:rFonts w:hint="eastAsia" w:ascii="仿宋_GB2312" w:hAnsi="仿宋_GB2312" w:eastAsia="仿宋_GB2312" w:cs="仿宋_GB2312"/>
          <w:color w:val="auto"/>
          <w:sz w:val="32"/>
          <w:szCs w:val="32"/>
          <w:highlight w:val="none"/>
          <w:u w:val="none"/>
          <w:lang w:eastAsia="zh-CN"/>
        </w:rPr>
        <w:t>产品的中选资格。</w:t>
      </w:r>
    </w:p>
    <w:bookmarkEnd w:id="404"/>
    <w:bookmarkEnd w:id="408"/>
    <w:bookmarkEnd w:id="409"/>
    <w:p w14:paraId="718C9874">
      <w:pPr>
        <w:keepNext w:val="0"/>
        <w:keepLines w:val="0"/>
        <w:pageBreakBefore w:val="0"/>
        <w:widowControl w:val="0"/>
        <w:kinsoku/>
        <w:wordWrap/>
        <w:topLinePunct w:val="0"/>
        <w:bidi w:val="0"/>
        <w:spacing w:line="560" w:lineRule="exact"/>
        <w:ind w:left="0" w:firstLine="640" w:firstLineChars="200"/>
        <w:jc w:val="both"/>
        <w:textAlignment w:val="auto"/>
        <w:outlineLvl w:val="1"/>
        <w:rPr>
          <w:rFonts w:hint="default" w:ascii="黑体" w:hAnsi="黑体" w:eastAsia="黑体" w:cs="黑体"/>
          <w:color w:val="auto"/>
          <w:kern w:val="2"/>
          <w:sz w:val="32"/>
          <w:szCs w:val="32"/>
          <w:highlight w:val="none"/>
          <w:u w:val="none"/>
          <w:lang w:val="en-US" w:eastAsia="zh-CN"/>
        </w:rPr>
      </w:pPr>
      <w:bookmarkStart w:id="412" w:name="_Toc27477"/>
      <w:bookmarkStart w:id="413" w:name="_Toc2105"/>
      <w:bookmarkStart w:id="414" w:name="_Toc29380"/>
      <w:bookmarkStart w:id="415" w:name="_Toc15194"/>
      <w:bookmarkStart w:id="416" w:name="_Toc24231"/>
      <w:bookmarkStart w:id="417" w:name="_Toc30970"/>
      <w:bookmarkStart w:id="418" w:name="_Toc6546"/>
      <w:bookmarkStart w:id="419" w:name="_Toc21362"/>
      <w:bookmarkStart w:id="420" w:name="_Toc14897"/>
      <w:r>
        <w:rPr>
          <w:rFonts w:hint="eastAsia" w:ascii="黑体" w:hAnsi="黑体" w:eastAsia="黑体" w:cs="黑体"/>
          <w:color w:val="auto"/>
          <w:kern w:val="2"/>
          <w:sz w:val="32"/>
          <w:szCs w:val="32"/>
          <w:highlight w:val="none"/>
          <w:u w:val="none"/>
          <w:lang w:val="en-US" w:eastAsia="zh-CN"/>
        </w:rPr>
        <w:t>八、</w:t>
      </w:r>
      <w:bookmarkEnd w:id="405"/>
      <w:bookmarkEnd w:id="406"/>
      <w:bookmarkEnd w:id="410"/>
      <w:bookmarkEnd w:id="411"/>
      <w:bookmarkEnd w:id="412"/>
      <w:bookmarkEnd w:id="413"/>
      <w:r>
        <w:rPr>
          <w:rFonts w:hint="eastAsia" w:ascii="黑体" w:hAnsi="黑体" w:eastAsia="黑体" w:cs="黑体"/>
          <w:color w:val="auto"/>
          <w:kern w:val="2"/>
          <w:sz w:val="32"/>
          <w:szCs w:val="32"/>
          <w:highlight w:val="none"/>
          <w:u w:val="none"/>
          <w:lang w:val="en-US" w:eastAsia="zh-CN"/>
        </w:rPr>
        <w:t>违约、处置及其他事项</w:t>
      </w:r>
      <w:bookmarkEnd w:id="414"/>
      <w:bookmarkEnd w:id="415"/>
      <w:bookmarkEnd w:id="416"/>
      <w:bookmarkEnd w:id="417"/>
      <w:bookmarkEnd w:id="418"/>
      <w:bookmarkEnd w:id="419"/>
      <w:bookmarkEnd w:id="420"/>
    </w:p>
    <w:p w14:paraId="28E00CA9">
      <w:pPr>
        <w:keepNext w:val="0"/>
        <w:keepLines w:val="0"/>
        <w:pageBreakBefore w:val="0"/>
        <w:widowControl w:val="0"/>
        <w:kinsoku/>
        <w:wordWrap/>
        <w:overflowPunct w:val="0"/>
        <w:topLinePunct w:val="0"/>
        <w:bidi w:val="0"/>
        <w:adjustRightInd w:val="0"/>
        <w:snapToGrid w:val="0"/>
        <w:spacing w:line="560" w:lineRule="exact"/>
        <w:ind w:left="0" w:firstLine="640" w:firstLineChars="200"/>
        <w:jc w:val="both"/>
        <w:textAlignment w:val="auto"/>
        <w:outlineLvl w:val="2"/>
        <w:rPr>
          <w:rFonts w:hint="default" w:ascii="楷体" w:hAnsi="楷体" w:eastAsia="楷体" w:cs="楷体"/>
          <w:color w:val="auto"/>
          <w:sz w:val="32"/>
          <w:szCs w:val="32"/>
          <w:highlight w:val="none"/>
          <w:u w:val="none"/>
          <w:lang w:val="en-US" w:eastAsia="zh-CN"/>
        </w:rPr>
      </w:pPr>
      <w:bookmarkStart w:id="421" w:name="_Toc19504"/>
      <w:bookmarkStart w:id="422" w:name="_Toc2044"/>
      <w:bookmarkStart w:id="423" w:name="_Toc19903"/>
      <w:bookmarkStart w:id="424" w:name="_Toc20900"/>
      <w:bookmarkStart w:id="425" w:name="_Toc9765"/>
      <w:bookmarkStart w:id="426" w:name="_Toc31760"/>
      <w:bookmarkStart w:id="427" w:name="_Toc2645"/>
      <w:bookmarkStart w:id="428" w:name="_Toc25610"/>
      <w:bookmarkStart w:id="429" w:name="_Toc5650"/>
      <w:r>
        <w:rPr>
          <w:rFonts w:hint="eastAsia" w:ascii="楷体" w:hAnsi="楷体" w:eastAsia="楷体" w:cs="楷体"/>
          <w:color w:val="auto"/>
          <w:sz w:val="32"/>
          <w:szCs w:val="32"/>
          <w:highlight w:val="none"/>
          <w:u w:val="none"/>
        </w:rPr>
        <w:t>（一）</w:t>
      </w:r>
      <w:r>
        <w:rPr>
          <w:rFonts w:hint="eastAsia" w:ascii="楷体" w:hAnsi="楷体" w:eastAsia="楷体" w:cs="楷体"/>
          <w:color w:val="auto"/>
          <w:sz w:val="32"/>
          <w:szCs w:val="32"/>
          <w:highlight w:val="none"/>
          <w:u w:val="none"/>
          <w:lang w:val="en-US" w:eastAsia="zh-CN"/>
        </w:rPr>
        <w:t>申报企业、中选企业、配送企业如有以下行为，经有关部门认定</w:t>
      </w:r>
      <w:bookmarkEnd w:id="421"/>
      <w:r>
        <w:rPr>
          <w:rFonts w:hint="eastAsia" w:ascii="楷体" w:hAnsi="楷体" w:eastAsia="楷体" w:cs="楷体"/>
          <w:color w:val="auto"/>
          <w:kern w:val="0"/>
          <w:sz w:val="32"/>
          <w:szCs w:val="32"/>
          <w:highlight w:val="none"/>
          <w:u w:val="none"/>
          <w:lang w:val="en-US" w:eastAsia="zh-CN" w:bidi="ar-SA"/>
        </w:rPr>
        <w:t>属实的，</w:t>
      </w:r>
      <w:r>
        <w:rPr>
          <w:rFonts w:hint="eastAsia" w:ascii="楷体" w:hAnsi="楷体" w:eastAsia="楷体" w:cs="楷体"/>
          <w:color w:val="auto"/>
          <w:kern w:val="0"/>
          <w:sz w:val="32"/>
          <w:szCs w:val="32"/>
          <w:highlight w:val="none"/>
          <w:u w:val="none"/>
          <w:lang w:val="en-US" w:bidi="ar-SA"/>
        </w:rPr>
        <w:t>按照</w:t>
      </w:r>
      <w:r>
        <w:rPr>
          <w:rFonts w:hint="eastAsia" w:ascii="楷体" w:hAnsi="楷体" w:eastAsia="楷体" w:cs="楷体"/>
          <w:color w:val="auto"/>
          <w:kern w:val="0"/>
          <w:sz w:val="32"/>
          <w:szCs w:val="32"/>
          <w:highlight w:val="none"/>
          <w:u w:val="none"/>
          <w:lang w:val="en-US" w:eastAsia="zh-CN" w:bidi="ar-SA"/>
        </w:rPr>
        <w:t>第八条</w:t>
      </w:r>
      <w:r>
        <w:rPr>
          <w:rFonts w:hint="eastAsia" w:ascii="楷体" w:hAnsi="楷体" w:eastAsia="楷体" w:cs="楷体"/>
          <w:color w:val="auto"/>
          <w:kern w:val="0"/>
          <w:sz w:val="32"/>
          <w:szCs w:val="32"/>
          <w:highlight w:val="none"/>
          <w:u w:val="none"/>
          <w:lang w:val="en-US" w:bidi="ar-SA"/>
        </w:rPr>
        <w:t>第（三）项处理</w:t>
      </w:r>
      <w:r>
        <w:rPr>
          <w:rFonts w:hint="eastAsia" w:ascii="楷体" w:hAnsi="楷体" w:eastAsia="楷体" w:cs="楷体"/>
          <w:color w:val="auto"/>
          <w:sz w:val="32"/>
          <w:szCs w:val="32"/>
          <w:highlight w:val="none"/>
          <w:u w:val="none"/>
          <w:lang w:val="en-US" w:eastAsia="zh-CN"/>
        </w:rPr>
        <w:t>：</w:t>
      </w:r>
      <w:bookmarkEnd w:id="422"/>
      <w:bookmarkEnd w:id="423"/>
      <w:bookmarkEnd w:id="424"/>
      <w:bookmarkEnd w:id="425"/>
      <w:bookmarkEnd w:id="426"/>
      <w:bookmarkEnd w:id="427"/>
      <w:bookmarkEnd w:id="428"/>
      <w:bookmarkEnd w:id="429"/>
    </w:p>
    <w:p w14:paraId="4C2EADF3">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color w:val="auto"/>
          <w:kern w:val="2"/>
          <w:sz w:val="32"/>
          <w:szCs w:val="32"/>
          <w:highlight w:val="none"/>
          <w:lang w:val="en-US" w:bidi="ar-SA"/>
        </w:rPr>
      </w:pPr>
      <w:r>
        <w:rPr>
          <w:rFonts w:hint="eastAsia" w:ascii="仿宋_GB2312" w:hAnsi="仿宋_GB2312" w:eastAsia="仿宋_GB2312" w:cs="仿宋_GB2312"/>
          <w:color w:val="auto"/>
          <w:sz w:val="32"/>
          <w:szCs w:val="32"/>
          <w:highlight w:val="none"/>
          <w:u w:val="none"/>
          <w:lang w:val="en-US" w:eastAsia="zh-CN"/>
        </w:rPr>
        <w:t>1.</w:t>
      </w:r>
      <w:r>
        <w:rPr>
          <w:rFonts w:hint="default" w:ascii="Times New Roman" w:hAnsi="Times New Roman" w:eastAsia="仿宋_GB2312" w:cs="Times New Roman"/>
          <w:color w:val="auto"/>
          <w:kern w:val="2"/>
          <w:sz w:val="32"/>
          <w:szCs w:val="32"/>
          <w:highlight w:val="none"/>
          <w:lang w:val="en-US" w:bidi="ar-SA"/>
        </w:rPr>
        <w:t>申报品种不符合“申报</w:t>
      </w:r>
      <w:r>
        <w:rPr>
          <w:rFonts w:hint="eastAsia" w:ascii="Times New Roman" w:hAnsi="Times New Roman" w:eastAsia="仿宋_GB2312" w:cs="Times New Roman"/>
          <w:color w:val="auto"/>
          <w:kern w:val="2"/>
          <w:sz w:val="32"/>
          <w:szCs w:val="32"/>
          <w:highlight w:val="none"/>
          <w:lang w:val="en-US" w:eastAsia="zh-CN" w:bidi="ar-SA"/>
        </w:rPr>
        <w:t>要求</w:t>
      </w:r>
      <w:r>
        <w:rPr>
          <w:rFonts w:hint="default" w:ascii="Times New Roman" w:hAnsi="Times New Roman" w:eastAsia="仿宋_GB2312" w:cs="Times New Roman"/>
          <w:color w:val="auto"/>
          <w:kern w:val="2"/>
          <w:sz w:val="32"/>
          <w:szCs w:val="32"/>
          <w:highlight w:val="none"/>
          <w:lang w:val="en-US" w:bidi="ar-SA"/>
        </w:rPr>
        <w:t>”</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bidi="ar-SA"/>
        </w:rPr>
        <w:t>涉嫌不如实提供材料或</w:t>
      </w:r>
      <w:r>
        <w:rPr>
          <w:rFonts w:hint="eastAsia" w:ascii="Times New Roman" w:hAnsi="Times New Roman" w:eastAsia="仿宋_GB2312" w:cs="Times New Roman"/>
          <w:color w:val="auto"/>
          <w:kern w:val="2"/>
          <w:sz w:val="32"/>
          <w:szCs w:val="32"/>
          <w:highlight w:val="none"/>
          <w:lang w:val="en-US" w:eastAsia="zh-CN" w:bidi="ar-SA"/>
        </w:rPr>
        <w:t>者</w:t>
      </w:r>
      <w:r>
        <w:rPr>
          <w:rFonts w:hint="default" w:ascii="Times New Roman" w:hAnsi="Times New Roman" w:eastAsia="仿宋_GB2312" w:cs="Times New Roman"/>
          <w:color w:val="auto"/>
          <w:kern w:val="2"/>
          <w:sz w:val="32"/>
          <w:szCs w:val="32"/>
          <w:highlight w:val="none"/>
          <w:lang w:val="en-US" w:bidi="ar-SA"/>
        </w:rPr>
        <w:t>不如实</w:t>
      </w:r>
      <w:r>
        <w:rPr>
          <w:rFonts w:hint="eastAsia" w:ascii="Times New Roman" w:hAnsi="Times New Roman" w:eastAsia="仿宋_GB2312" w:cs="Times New Roman"/>
          <w:color w:val="auto"/>
          <w:kern w:val="2"/>
          <w:sz w:val="32"/>
          <w:szCs w:val="32"/>
          <w:highlight w:val="none"/>
          <w:lang w:val="en-US" w:eastAsia="zh-CN" w:bidi="ar-SA"/>
        </w:rPr>
        <w:t>申报价格</w:t>
      </w:r>
      <w:r>
        <w:rPr>
          <w:rFonts w:hint="default" w:ascii="Times New Roman" w:hAnsi="Times New Roman" w:eastAsia="仿宋_GB2312" w:cs="Times New Roman"/>
          <w:color w:val="auto"/>
          <w:kern w:val="2"/>
          <w:sz w:val="32"/>
          <w:szCs w:val="32"/>
          <w:highlight w:val="none"/>
          <w:lang w:val="en-US" w:bidi="ar-SA"/>
        </w:rPr>
        <w:t>。</w:t>
      </w:r>
    </w:p>
    <w:p w14:paraId="5BB8EF2E">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2.提供</w:t>
      </w:r>
      <w:r>
        <w:rPr>
          <w:rFonts w:hint="default" w:ascii="Times New Roman" w:hAnsi="Times New Roman" w:eastAsia="仿宋_GB2312" w:cs="Times New Roman"/>
          <w:color w:val="auto"/>
          <w:kern w:val="2"/>
          <w:sz w:val="32"/>
          <w:szCs w:val="32"/>
          <w:highlight w:val="none"/>
          <w:lang w:val="en-US" w:bidi="ar-SA"/>
        </w:rPr>
        <w:t>处方回扣或</w:t>
      </w:r>
      <w:r>
        <w:rPr>
          <w:rFonts w:hint="eastAsia" w:ascii="仿宋_GB2312" w:hAnsi="仿宋_GB2312" w:eastAsia="仿宋_GB2312" w:cs="仿宋_GB2312"/>
          <w:color w:val="auto"/>
          <w:sz w:val="32"/>
          <w:szCs w:val="32"/>
          <w:highlight w:val="none"/>
          <w:u w:val="none"/>
          <w:lang w:val="en-US" w:eastAsia="zh-CN"/>
        </w:rPr>
        <w:t>商业贿赂，进行非法促销活动。</w:t>
      </w:r>
    </w:p>
    <w:p w14:paraId="3DB31F22">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.以低于成本的价格恶意申报，扰乱市场秩序。</w:t>
      </w:r>
    </w:p>
    <w:p w14:paraId="4B064070">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.相互串通申报、协商报价，排斥其他申报企业的公平竞争，损害采购方或者其他申报企业的合法利益。</w:t>
      </w:r>
    </w:p>
    <w:p w14:paraId="1996997F">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.以向采购方、</w:t>
      </w:r>
      <w:r>
        <w:rPr>
          <w:rFonts w:hint="eastAsia" w:ascii="仿宋_GB2312" w:hAnsi="仿宋_GB2312" w:eastAsia="仿宋_GB2312" w:cs="仿宋_GB2312"/>
          <w:color w:val="auto"/>
          <w:sz w:val="32"/>
          <w:szCs w:val="32"/>
          <w:highlight w:val="none"/>
          <w:u w:val="none"/>
          <w:lang w:val="en-US" w:eastAsia="zh-CN"/>
        </w:rPr>
        <w:t>集中采购实施</w:t>
      </w:r>
      <w:r>
        <w:rPr>
          <w:rFonts w:hint="eastAsia" w:ascii="仿宋_GB2312" w:hAnsi="仿宋_GB2312" w:eastAsia="仿宋_GB2312" w:cs="仿宋_GB2312"/>
          <w:color w:val="auto"/>
          <w:sz w:val="32"/>
          <w:szCs w:val="32"/>
          <w:highlight w:val="none"/>
          <w:u w:val="none"/>
        </w:rPr>
        <w:t>机构行贿等手段牟取中选。</w:t>
      </w:r>
    </w:p>
    <w:p w14:paraId="09A02FCF">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提供虚假证明文件及文献资料，或者以其他方式弄虚作假，骗取中选。</w:t>
      </w:r>
    </w:p>
    <w:p w14:paraId="52CCEFD5">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7</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在规定期限不签订采购协议。</w:t>
      </w:r>
    </w:p>
    <w:p w14:paraId="318F3CA9">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8</w:t>
      </w:r>
      <w:r>
        <w:rPr>
          <w:rFonts w:hint="eastAsia" w:ascii="仿宋_GB2312" w:hAnsi="仿宋_GB2312" w:eastAsia="仿宋_GB2312" w:cs="仿宋_GB2312"/>
          <w:color w:val="auto"/>
          <w:sz w:val="32"/>
          <w:szCs w:val="32"/>
          <w:highlight w:val="none"/>
          <w:u w:val="none"/>
        </w:rPr>
        <w:t>.未按采购</w:t>
      </w:r>
      <w:r>
        <w:rPr>
          <w:rFonts w:hint="eastAsia" w:ascii="仿宋_GB2312" w:hAnsi="仿宋_GB2312" w:eastAsia="仿宋_GB2312" w:cs="仿宋_GB2312"/>
          <w:color w:val="auto"/>
          <w:sz w:val="32"/>
          <w:szCs w:val="32"/>
          <w:highlight w:val="none"/>
          <w:u w:val="none"/>
          <w:lang w:val="en-US" w:eastAsia="zh-CN"/>
        </w:rPr>
        <w:t>协议</w:t>
      </w:r>
      <w:r>
        <w:rPr>
          <w:rFonts w:hint="eastAsia" w:ascii="仿宋_GB2312" w:hAnsi="仿宋_GB2312" w:eastAsia="仿宋_GB2312" w:cs="仿宋_GB2312"/>
          <w:color w:val="auto"/>
          <w:sz w:val="32"/>
          <w:szCs w:val="32"/>
          <w:highlight w:val="none"/>
          <w:u w:val="none"/>
        </w:rPr>
        <w:t>及法律法规要求实行配送。</w:t>
      </w:r>
    </w:p>
    <w:p w14:paraId="018B36DA">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9</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bidi="ar-SA"/>
        </w:rPr>
        <w:t>拟中选或中选后放弃</w:t>
      </w:r>
      <w:r>
        <w:rPr>
          <w:rFonts w:hint="eastAsia" w:ascii="仿宋_GB2312" w:hAnsi="仿宋_GB2312" w:eastAsia="仿宋_GB2312" w:cs="仿宋_GB2312"/>
          <w:color w:val="auto"/>
          <w:kern w:val="0"/>
          <w:sz w:val="32"/>
          <w:szCs w:val="32"/>
          <w:highlight w:val="none"/>
          <w:u w:val="none"/>
          <w:lang w:val="en-US" w:eastAsia="zh-CN" w:bidi="ar-SA"/>
        </w:rPr>
        <w:t>中选资格</w:t>
      </w:r>
      <w:r>
        <w:rPr>
          <w:rFonts w:hint="eastAsia" w:ascii="仿宋_GB2312" w:hAnsi="仿宋_GB2312" w:eastAsia="仿宋_GB2312" w:cs="仿宋_GB2312"/>
          <w:color w:val="auto"/>
          <w:sz w:val="32"/>
          <w:szCs w:val="32"/>
          <w:highlight w:val="none"/>
          <w:u w:val="none"/>
        </w:rPr>
        <w:t>。</w:t>
      </w:r>
    </w:p>
    <w:p w14:paraId="65CC670F">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w:t>
      </w:r>
      <w:r>
        <w:rPr>
          <w:rFonts w:hint="eastAsia" w:ascii="仿宋_GB2312" w:hAnsi="仿宋_GB2312" w:eastAsia="仿宋_GB2312" w:cs="仿宋_GB2312"/>
          <w:color w:val="auto"/>
          <w:sz w:val="32"/>
          <w:szCs w:val="32"/>
          <w:highlight w:val="none"/>
          <w:u w:val="none"/>
          <w:lang w:val="en-US" w:eastAsia="zh-CN"/>
        </w:rPr>
        <w:t>0</w:t>
      </w:r>
      <w:r>
        <w:rPr>
          <w:rFonts w:hint="eastAsia" w:ascii="仿宋_GB2312" w:hAnsi="仿宋_GB2312" w:eastAsia="仿宋_GB2312" w:cs="仿宋_GB2312"/>
          <w:color w:val="auto"/>
          <w:sz w:val="32"/>
          <w:szCs w:val="32"/>
          <w:highlight w:val="none"/>
          <w:u w:val="none"/>
        </w:rPr>
        <w:t>.不履行供货承诺，影响到临床使用。</w:t>
      </w:r>
    </w:p>
    <w:p w14:paraId="30B128A6">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中选产品</w:t>
      </w:r>
      <w:r>
        <w:rPr>
          <w:rFonts w:hint="eastAsia" w:ascii="仿宋_GB2312" w:hAnsi="仿宋_GB2312" w:eastAsia="仿宋_GB2312" w:cs="仿宋_GB2312"/>
          <w:color w:val="auto"/>
          <w:sz w:val="32"/>
          <w:szCs w:val="32"/>
          <w:highlight w:val="none"/>
          <w:u w:val="none"/>
        </w:rPr>
        <w:t>发生严重质量问题。</w:t>
      </w:r>
    </w:p>
    <w:p w14:paraId="5724380F">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中选产品</w:t>
      </w:r>
      <w:r>
        <w:rPr>
          <w:rFonts w:hint="eastAsia" w:ascii="仿宋_GB2312" w:hAnsi="仿宋_GB2312" w:eastAsia="仿宋_GB2312" w:cs="仿宋_GB2312"/>
          <w:color w:val="auto"/>
          <w:sz w:val="32"/>
          <w:szCs w:val="32"/>
          <w:highlight w:val="none"/>
          <w:u w:val="none"/>
        </w:rPr>
        <w:t>因不符合医疗器械生产质量管理规范被药品监督管理部门处以暂停生产、销售、使用、进口等控制措施。</w:t>
      </w:r>
    </w:p>
    <w:p w14:paraId="208CE62B">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.在抽检或飞行检查中发现</w:t>
      </w:r>
      <w:r>
        <w:rPr>
          <w:rFonts w:hint="eastAsia" w:ascii="仿宋_GB2312" w:hAnsi="仿宋_GB2312" w:eastAsia="仿宋_GB2312" w:cs="仿宋_GB2312"/>
          <w:color w:val="auto"/>
          <w:sz w:val="32"/>
          <w:szCs w:val="32"/>
          <w:highlight w:val="none"/>
          <w:u w:val="none"/>
          <w:lang w:eastAsia="zh-CN"/>
        </w:rPr>
        <w:t>中选企业</w:t>
      </w:r>
      <w:r>
        <w:rPr>
          <w:rFonts w:hint="eastAsia" w:ascii="仿宋_GB2312" w:hAnsi="仿宋_GB2312" w:eastAsia="仿宋_GB2312" w:cs="仿宋_GB2312"/>
          <w:color w:val="auto"/>
          <w:sz w:val="32"/>
          <w:szCs w:val="32"/>
          <w:highlight w:val="none"/>
          <w:u w:val="none"/>
        </w:rPr>
        <w:t>严重违背在申报材料中作出的承诺。</w:t>
      </w:r>
    </w:p>
    <w:p w14:paraId="0205B2F1">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1</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通过恶意投诉等不正当手段竞争。</w:t>
      </w:r>
    </w:p>
    <w:p w14:paraId="73A09A94">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.蓄意干扰带量</w:t>
      </w:r>
      <w:r>
        <w:rPr>
          <w:rFonts w:hint="eastAsia" w:ascii="仿宋_GB2312" w:hAnsi="仿宋_GB2312" w:eastAsia="仿宋_GB2312" w:cs="仿宋_GB2312"/>
          <w:color w:val="auto"/>
          <w:sz w:val="32"/>
          <w:szCs w:val="32"/>
          <w:highlight w:val="none"/>
          <w:u w:val="none"/>
          <w:lang w:val="en-US" w:eastAsia="zh-CN"/>
        </w:rPr>
        <w:t>联动</w:t>
      </w:r>
      <w:r>
        <w:rPr>
          <w:rFonts w:hint="eastAsia" w:ascii="仿宋_GB2312" w:hAnsi="仿宋_GB2312" w:eastAsia="仿宋_GB2312" w:cs="仿宋_GB2312"/>
          <w:color w:val="auto"/>
          <w:sz w:val="32"/>
          <w:szCs w:val="32"/>
          <w:highlight w:val="none"/>
          <w:u w:val="none"/>
        </w:rPr>
        <w:t>相关工作秩序。</w:t>
      </w:r>
    </w:p>
    <w:p w14:paraId="32670DDA">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.其他违反法律法规的行为。</w:t>
      </w:r>
      <w:bookmarkStart w:id="430" w:name="_Toc9542"/>
      <w:bookmarkStart w:id="431" w:name="_Toc30912"/>
      <w:bookmarkStart w:id="432" w:name="_Toc30584"/>
      <w:bookmarkStart w:id="433" w:name="_Toc1854"/>
      <w:bookmarkStart w:id="434" w:name="_Toc1525"/>
    </w:p>
    <w:p w14:paraId="0BF3B7FD">
      <w:pPr>
        <w:keepNext w:val="0"/>
        <w:keepLines w:val="0"/>
        <w:pageBreakBefore w:val="0"/>
        <w:widowControl w:val="0"/>
        <w:kinsoku/>
        <w:wordWrap/>
        <w:overflowPunct w:val="0"/>
        <w:topLinePunct w:val="0"/>
        <w:bidi w:val="0"/>
        <w:adjustRightInd w:val="0"/>
        <w:snapToGrid w:val="0"/>
        <w:spacing w:line="560" w:lineRule="exact"/>
        <w:ind w:left="0" w:firstLine="640" w:firstLineChars="200"/>
        <w:jc w:val="both"/>
        <w:textAlignment w:val="auto"/>
        <w:outlineLvl w:val="2"/>
        <w:rPr>
          <w:rFonts w:hint="eastAsia" w:ascii="仿宋_GB2312" w:hAnsi="仿宋_GB2312" w:eastAsia="仿宋_GB2312" w:cs="仿宋_GB2312"/>
          <w:color w:val="auto"/>
          <w:kern w:val="2"/>
          <w:sz w:val="32"/>
          <w:szCs w:val="32"/>
          <w:highlight w:val="none"/>
          <w:lang w:val="en-US" w:eastAsia="zh-CN" w:bidi="ar-SA"/>
        </w:rPr>
      </w:pPr>
      <w:bookmarkStart w:id="435" w:name="_Toc17689"/>
      <w:bookmarkStart w:id="436" w:name="_Toc27479"/>
      <w:bookmarkStart w:id="437" w:name="_Toc32433"/>
      <w:bookmarkStart w:id="438" w:name="_Toc26944"/>
      <w:r>
        <w:rPr>
          <w:rFonts w:hint="eastAsia" w:ascii="楷体" w:hAnsi="楷体" w:eastAsia="楷体" w:cs="楷体"/>
          <w:color w:val="auto"/>
          <w:kern w:val="2"/>
          <w:sz w:val="32"/>
          <w:szCs w:val="32"/>
          <w:highlight w:val="none"/>
          <w:lang w:val="en-US" w:eastAsia="zh-CN" w:bidi="ar-SA"/>
        </w:rPr>
        <w:t>（二）中选企业</w:t>
      </w:r>
      <w:r>
        <w:rPr>
          <w:rFonts w:hint="eastAsia" w:ascii="楷体" w:hAnsi="楷体" w:eastAsia="楷体" w:cs="楷体"/>
          <w:color w:val="auto"/>
          <w:kern w:val="2"/>
          <w:sz w:val="32"/>
          <w:szCs w:val="32"/>
          <w:highlight w:val="none"/>
          <w:lang w:val="en-US" w:bidi="ar-SA"/>
        </w:rPr>
        <w:t>、配送企业如有以下行为</w:t>
      </w:r>
      <w:r>
        <w:rPr>
          <w:rFonts w:hint="eastAsia" w:ascii="楷体" w:hAnsi="楷体" w:eastAsia="楷体" w:cs="楷体"/>
          <w:color w:val="auto"/>
          <w:kern w:val="2"/>
          <w:sz w:val="32"/>
          <w:szCs w:val="32"/>
          <w:highlight w:val="none"/>
          <w:lang w:val="en-US" w:eastAsia="zh-CN" w:bidi="ar-SA"/>
        </w:rPr>
        <w:t>之一， 经市医保部门或采购机构约谈、提醒、告诫、公告2次及以上仍未整改的，</w:t>
      </w:r>
      <w:r>
        <w:rPr>
          <w:rFonts w:hint="eastAsia" w:ascii="楷体" w:hAnsi="楷体" w:eastAsia="楷体" w:cs="楷体"/>
          <w:color w:val="auto"/>
          <w:kern w:val="2"/>
          <w:sz w:val="32"/>
          <w:szCs w:val="32"/>
          <w:highlight w:val="none"/>
          <w:lang w:val="en-US" w:bidi="ar-SA"/>
        </w:rPr>
        <w:t>按照</w:t>
      </w:r>
      <w:r>
        <w:rPr>
          <w:rFonts w:hint="eastAsia" w:ascii="楷体" w:hAnsi="楷体" w:eastAsia="楷体" w:cs="楷体"/>
          <w:color w:val="auto"/>
          <w:kern w:val="2"/>
          <w:sz w:val="32"/>
          <w:szCs w:val="32"/>
          <w:highlight w:val="none"/>
          <w:lang w:val="en-US" w:eastAsia="zh-CN" w:bidi="ar-SA"/>
        </w:rPr>
        <w:t>第八条</w:t>
      </w:r>
      <w:r>
        <w:rPr>
          <w:rFonts w:hint="eastAsia" w:ascii="楷体" w:hAnsi="楷体" w:eastAsia="楷体" w:cs="楷体"/>
          <w:color w:val="auto"/>
          <w:kern w:val="2"/>
          <w:sz w:val="32"/>
          <w:szCs w:val="32"/>
          <w:highlight w:val="none"/>
          <w:lang w:val="en-US" w:bidi="ar-SA"/>
        </w:rPr>
        <w:t>第（三）项处理</w:t>
      </w:r>
      <w:r>
        <w:rPr>
          <w:rFonts w:hint="eastAsia" w:ascii="楷体" w:hAnsi="楷体" w:eastAsia="楷体" w:cs="楷体"/>
          <w:color w:val="auto"/>
          <w:kern w:val="2"/>
          <w:sz w:val="32"/>
          <w:szCs w:val="32"/>
          <w:highlight w:val="none"/>
          <w:lang w:val="en-US" w:eastAsia="zh-CN" w:bidi="ar-SA"/>
        </w:rPr>
        <w:t>：</w:t>
      </w:r>
      <w:bookmarkEnd w:id="435"/>
      <w:bookmarkEnd w:id="436"/>
      <w:bookmarkEnd w:id="437"/>
      <w:bookmarkEnd w:id="438"/>
    </w:p>
    <w:bookmarkEnd w:id="430"/>
    <w:bookmarkEnd w:id="431"/>
    <w:bookmarkEnd w:id="432"/>
    <w:bookmarkEnd w:id="433"/>
    <w:bookmarkEnd w:id="434"/>
    <w:p w14:paraId="355FA672">
      <w:pPr>
        <w:keepNext w:val="0"/>
        <w:keepLines w:val="0"/>
        <w:pageBreakBefore w:val="0"/>
        <w:widowControl w:val="0"/>
        <w:kinsoku/>
        <w:wordWrap/>
        <w:overflowPunct w:val="0"/>
        <w:topLinePunct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1.中选产品出现在</w:t>
      </w:r>
      <w:r>
        <w:rPr>
          <w:rFonts w:hint="default" w:ascii="仿宋_GB2312" w:hAnsi="仿宋_GB2312" w:eastAsia="仿宋_GB2312" w:cs="仿宋_GB2312"/>
          <w:color w:val="auto"/>
          <w:sz w:val="32"/>
          <w:szCs w:val="32"/>
          <w:highlight w:val="none"/>
          <w:u w:val="none"/>
          <w:lang w:val="en-US" w:eastAsia="zh-CN"/>
        </w:rPr>
        <w:t>中选结果</w:t>
      </w:r>
      <w:r>
        <w:rPr>
          <w:rFonts w:hint="eastAsia" w:ascii="仿宋_GB2312" w:hAnsi="仿宋_GB2312" w:eastAsia="仿宋_GB2312" w:cs="仿宋_GB2312"/>
          <w:color w:val="auto"/>
          <w:sz w:val="32"/>
          <w:szCs w:val="32"/>
          <w:highlight w:val="none"/>
          <w:u w:val="none"/>
          <w:lang w:val="en-US" w:eastAsia="zh-CN"/>
        </w:rPr>
        <w:t>执行</w:t>
      </w:r>
      <w:r>
        <w:rPr>
          <w:rFonts w:hint="default" w:ascii="仿宋_GB2312" w:hAnsi="仿宋_GB2312" w:eastAsia="仿宋_GB2312" w:cs="仿宋_GB2312"/>
          <w:color w:val="auto"/>
          <w:sz w:val="32"/>
          <w:szCs w:val="32"/>
          <w:highlight w:val="none"/>
          <w:u w:val="none"/>
          <w:lang w:val="en-US" w:eastAsia="zh-CN"/>
        </w:rPr>
        <w:t>之日前</w:t>
      </w:r>
      <w:r>
        <w:rPr>
          <w:rFonts w:hint="eastAsia" w:ascii="仿宋_GB2312" w:hAnsi="仿宋_GB2312" w:eastAsia="仿宋_GB2312" w:cs="仿宋_GB2312"/>
          <w:color w:val="auto"/>
          <w:sz w:val="32"/>
          <w:szCs w:val="32"/>
          <w:highlight w:val="none"/>
          <w:u w:val="none"/>
          <w:lang w:val="en-US" w:eastAsia="zh-CN"/>
        </w:rPr>
        <w:t>产生的低于中选价格的省级带量采购中选价格</w:t>
      </w:r>
      <w:r>
        <w:rPr>
          <w:rFonts w:hint="default" w:ascii="仿宋_GB2312" w:hAnsi="仿宋_GB2312" w:eastAsia="仿宋_GB2312" w:cs="仿宋_GB2312"/>
          <w:color w:val="auto"/>
          <w:sz w:val="32"/>
          <w:szCs w:val="32"/>
          <w:highlight w:val="none"/>
          <w:u w:val="none"/>
          <w:lang w:val="en-US" w:eastAsia="zh-CN"/>
        </w:rPr>
        <w:t>，且</w:t>
      </w:r>
      <w:r>
        <w:rPr>
          <w:rFonts w:hint="eastAsia" w:ascii="仿宋_GB2312" w:hAnsi="仿宋_GB2312" w:eastAsia="仿宋_GB2312" w:cs="仿宋_GB2312"/>
          <w:color w:val="auto"/>
          <w:sz w:val="32"/>
          <w:szCs w:val="32"/>
          <w:highlight w:val="none"/>
          <w:u w:val="none"/>
          <w:lang w:val="en-US" w:eastAsia="zh-CN"/>
        </w:rPr>
        <w:t>中选企业</w:t>
      </w:r>
      <w:r>
        <w:rPr>
          <w:rFonts w:hint="default" w:ascii="仿宋_GB2312" w:hAnsi="仿宋_GB2312" w:eastAsia="仿宋_GB2312" w:cs="仿宋_GB2312"/>
          <w:color w:val="auto"/>
          <w:sz w:val="32"/>
          <w:szCs w:val="32"/>
          <w:highlight w:val="none"/>
          <w:u w:val="none"/>
          <w:lang w:val="en-US" w:eastAsia="zh-CN"/>
        </w:rPr>
        <w:t>拒绝按照该价格</w:t>
      </w:r>
      <w:r>
        <w:rPr>
          <w:rFonts w:hint="eastAsia" w:ascii="仿宋_GB2312" w:hAnsi="仿宋_GB2312" w:eastAsia="仿宋_GB2312" w:cs="仿宋_GB2312"/>
          <w:color w:val="auto"/>
          <w:sz w:val="32"/>
          <w:szCs w:val="32"/>
          <w:highlight w:val="none"/>
          <w:u w:val="none"/>
          <w:lang w:val="en-US" w:eastAsia="zh-CN"/>
        </w:rPr>
        <w:t>进行联动并</w:t>
      </w:r>
      <w:r>
        <w:rPr>
          <w:rFonts w:hint="default" w:ascii="仿宋_GB2312" w:hAnsi="仿宋_GB2312" w:eastAsia="仿宋_GB2312" w:cs="仿宋_GB2312"/>
          <w:color w:val="auto"/>
          <w:sz w:val="32"/>
          <w:szCs w:val="32"/>
          <w:highlight w:val="none"/>
          <w:u w:val="none"/>
          <w:lang w:val="en-US" w:eastAsia="zh-CN"/>
        </w:rPr>
        <w:t>供应</w:t>
      </w:r>
      <w:r>
        <w:rPr>
          <w:rFonts w:hint="eastAsia" w:ascii="仿宋_GB2312" w:hAnsi="仿宋_GB2312" w:eastAsia="仿宋_GB2312" w:cs="仿宋_GB2312"/>
          <w:color w:val="auto"/>
          <w:sz w:val="32"/>
          <w:szCs w:val="32"/>
          <w:highlight w:val="none"/>
          <w:u w:val="none"/>
          <w:lang w:val="en-US" w:eastAsia="zh-CN"/>
        </w:rPr>
        <w:t>广东省医疗机构。</w:t>
      </w:r>
    </w:p>
    <w:p w14:paraId="553501CD">
      <w:pPr>
        <w:keepNext w:val="0"/>
        <w:keepLines w:val="0"/>
        <w:pageBreakBefore w:val="0"/>
        <w:widowControl w:val="0"/>
        <w:kinsoku/>
        <w:wordWrap/>
        <w:overflowPunct w:val="0"/>
        <w:topLinePunct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w:t>
      </w:r>
      <w:r>
        <w:rPr>
          <w:rFonts w:hint="default" w:ascii="仿宋_GB2312" w:hAnsi="仿宋_GB2312" w:eastAsia="仿宋_GB2312" w:cs="仿宋_GB2312"/>
          <w:color w:val="auto"/>
          <w:sz w:val="32"/>
          <w:szCs w:val="32"/>
          <w:highlight w:val="none"/>
          <w:u w:val="none"/>
          <w:lang w:val="en-US" w:eastAsia="zh-CN"/>
        </w:rPr>
        <w:t>中选价格高于截至中选结果公布之日前</w:t>
      </w:r>
      <w:r>
        <w:rPr>
          <w:rFonts w:hint="eastAsia" w:ascii="仿宋_GB2312" w:hAnsi="仿宋_GB2312" w:eastAsia="仿宋_GB2312" w:cs="仿宋_GB2312"/>
          <w:color w:val="auto"/>
          <w:sz w:val="32"/>
          <w:szCs w:val="32"/>
          <w:highlight w:val="none"/>
          <w:u w:val="none"/>
          <w:lang w:val="en-US" w:eastAsia="zh-CN"/>
        </w:rPr>
        <w:t>中选产品</w:t>
      </w:r>
      <w:r>
        <w:rPr>
          <w:rFonts w:hint="default" w:ascii="仿宋_GB2312" w:hAnsi="仿宋_GB2312" w:eastAsia="仿宋_GB2312" w:cs="仿宋_GB2312"/>
          <w:color w:val="auto"/>
          <w:sz w:val="32"/>
          <w:szCs w:val="32"/>
          <w:highlight w:val="none"/>
          <w:u w:val="none"/>
          <w:lang w:val="en-US" w:eastAsia="zh-CN"/>
        </w:rPr>
        <w:t>自身在</w:t>
      </w:r>
      <w:r>
        <w:rPr>
          <w:rFonts w:hint="eastAsia" w:ascii="仿宋_GB2312" w:hAnsi="仿宋_GB2312" w:eastAsia="仿宋_GB2312" w:cs="仿宋_GB2312"/>
          <w:color w:val="auto"/>
          <w:sz w:val="32"/>
          <w:szCs w:val="32"/>
          <w:highlight w:val="none"/>
          <w:u w:val="none"/>
          <w:lang w:val="en-US" w:eastAsia="zh-CN"/>
        </w:rPr>
        <w:t>广东省公立</w:t>
      </w:r>
      <w:r>
        <w:rPr>
          <w:rFonts w:hint="default" w:ascii="仿宋_GB2312" w:hAnsi="仿宋_GB2312" w:eastAsia="仿宋_GB2312" w:cs="仿宋_GB2312"/>
          <w:color w:val="auto"/>
          <w:sz w:val="32"/>
          <w:szCs w:val="32"/>
          <w:highlight w:val="none"/>
          <w:u w:val="none"/>
          <w:lang w:val="en-US" w:eastAsia="zh-CN"/>
        </w:rPr>
        <w:t>医疗机构的最低有效采购（交易）价格，且</w:t>
      </w:r>
      <w:r>
        <w:rPr>
          <w:rFonts w:hint="eastAsia" w:ascii="仿宋_GB2312" w:hAnsi="仿宋_GB2312" w:eastAsia="仿宋_GB2312" w:cs="仿宋_GB2312"/>
          <w:color w:val="auto"/>
          <w:sz w:val="32"/>
          <w:szCs w:val="32"/>
          <w:highlight w:val="none"/>
          <w:u w:val="none"/>
          <w:lang w:val="en-US" w:eastAsia="zh-CN"/>
        </w:rPr>
        <w:t>中选企业</w:t>
      </w:r>
      <w:r>
        <w:rPr>
          <w:rFonts w:hint="default" w:ascii="仿宋_GB2312" w:hAnsi="仿宋_GB2312" w:eastAsia="仿宋_GB2312" w:cs="仿宋_GB2312"/>
          <w:color w:val="auto"/>
          <w:sz w:val="32"/>
          <w:szCs w:val="32"/>
          <w:highlight w:val="none"/>
          <w:u w:val="none"/>
          <w:lang w:val="en-US" w:eastAsia="zh-CN"/>
        </w:rPr>
        <w:t>拒绝按照该最低价格供应</w:t>
      </w:r>
      <w:r>
        <w:rPr>
          <w:rFonts w:hint="eastAsia" w:ascii="仿宋_GB2312" w:hAnsi="仿宋_GB2312" w:eastAsia="仿宋_GB2312" w:cs="仿宋_GB2312"/>
          <w:color w:val="auto"/>
          <w:sz w:val="32"/>
          <w:szCs w:val="32"/>
          <w:highlight w:val="none"/>
          <w:u w:val="none"/>
          <w:lang w:val="en-US" w:eastAsia="zh-CN"/>
        </w:rPr>
        <w:t>广东省医疗机构</w:t>
      </w:r>
      <w:r>
        <w:rPr>
          <w:rFonts w:hint="default" w:ascii="仿宋_GB2312" w:hAnsi="仿宋_GB2312" w:eastAsia="仿宋_GB2312" w:cs="仿宋_GB2312"/>
          <w:color w:val="auto"/>
          <w:sz w:val="32"/>
          <w:szCs w:val="32"/>
          <w:highlight w:val="none"/>
          <w:u w:val="none"/>
          <w:lang w:val="en-US" w:eastAsia="zh-CN"/>
        </w:rPr>
        <w:t>。</w:t>
      </w:r>
    </w:p>
    <w:p w14:paraId="3477983B">
      <w:pPr>
        <w:keepNext w:val="0"/>
        <w:keepLines w:val="0"/>
        <w:pageBreakBefore w:val="0"/>
        <w:widowControl w:val="0"/>
        <w:kinsoku/>
        <w:wordWrap/>
        <w:overflowPunct w:val="0"/>
        <w:topLinePunct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3.中选产品多次发生不良事件</w:t>
      </w:r>
      <w:r>
        <w:rPr>
          <w:rFonts w:hint="eastAsia" w:ascii="仿宋_GB2312" w:hAnsi="仿宋_GB2312" w:eastAsia="仿宋_GB2312" w:cs="仿宋_GB2312"/>
          <w:color w:val="auto"/>
          <w:sz w:val="32"/>
          <w:szCs w:val="32"/>
          <w:highlight w:val="none"/>
          <w:u w:val="none"/>
        </w:rPr>
        <w:t>，且医疗机构上报</w:t>
      </w:r>
      <w:r>
        <w:rPr>
          <w:rFonts w:hint="eastAsia" w:ascii="仿宋_GB2312" w:hAnsi="仿宋_GB2312" w:eastAsia="仿宋_GB2312" w:cs="仿宋_GB2312"/>
          <w:color w:val="auto"/>
          <w:sz w:val="32"/>
          <w:szCs w:val="32"/>
          <w:highlight w:val="none"/>
          <w:u w:val="none"/>
          <w:lang w:val="en-US" w:eastAsia="zh-CN"/>
        </w:rPr>
        <w:t>属地</w:t>
      </w:r>
      <w:r>
        <w:rPr>
          <w:rFonts w:hint="eastAsia" w:ascii="仿宋_GB2312" w:hAnsi="仿宋_GB2312" w:eastAsia="仿宋_GB2312" w:cs="仿宋_GB2312"/>
          <w:color w:val="auto"/>
          <w:sz w:val="32"/>
          <w:szCs w:val="32"/>
          <w:highlight w:val="none"/>
          <w:u w:val="none"/>
        </w:rPr>
        <w:t>药品监管部门后反馈</w:t>
      </w:r>
      <w:r>
        <w:rPr>
          <w:rFonts w:hint="eastAsia" w:ascii="仿宋_GB2312" w:hAnsi="仿宋_GB2312" w:eastAsia="仿宋_GB2312" w:cs="仿宋_GB2312"/>
          <w:color w:val="auto"/>
          <w:sz w:val="32"/>
          <w:szCs w:val="32"/>
          <w:highlight w:val="none"/>
          <w:u w:val="none"/>
          <w:lang w:val="en-US" w:eastAsia="zh-CN"/>
        </w:rPr>
        <w:t>属地</w:t>
      </w:r>
      <w:r>
        <w:rPr>
          <w:rFonts w:hint="eastAsia" w:ascii="仿宋_GB2312" w:hAnsi="仿宋_GB2312" w:eastAsia="仿宋_GB2312" w:cs="仿宋_GB2312"/>
          <w:color w:val="auto"/>
          <w:sz w:val="32"/>
          <w:szCs w:val="32"/>
          <w:highlight w:val="none"/>
          <w:u w:val="none"/>
        </w:rPr>
        <w:t>医保部门或</w:t>
      </w:r>
      <w:r>
        <w:rPr>
          <w:rFonts w:hint="eastAsia" w:ascii="仿宋_GB2312" w:hAnsi="仿宋_GB2312" w:eastAsia="仿宋_GB2312" w:cs="仿宋_GB2312"/>
          <w:color w:val="auto"/>
          <w:sz w:val="32"/>
          <w:szCs w:val="32"/>
          <w:highlight w:val="none"/>
          <w:u w:val="none"/>
          <w:lang w:val="en-US" w:eastAsia="zh-CN"/>
        </w:rPr>
        <w:t>集中采购实施</w:t>
      </w:r>
      <w:r>
        <w:rPr>
          <w:rFonts w:hint="eastAsia" w:ascii="仿宋_GB2312" w:hAnsi="仿宋_GB2312" w:eastAsia="仿宋_GB2312" w:cs="仿宋_GB2312"/>
          <w:color w:val="auto"/>
          <w:sz w:val="32"/>
          <w:szCs w:val="32"/>
          <w:highlight w:val="none"/>
          <w:u w:val="none"/>
        </w:rPr>
        <w:t>机构。</w:t>
      </w:r>
    </w:p>
    <w:p w14:paraId="206F211D">
      <w:pPr>
        <w:keepNext w:val="0"/>
        <w:keepLines w:val="0"/>
        <w:pageBreakBefore w:val="0"/>
        <w:widowControl w:val="0"/>
        <w:kinsoku/>
        <w:wordWrap/>
        <w:overflowPunct w:val="0"/>
        <w:topLinePunct w:val="0"/>
        <w:bidi w:val="0"/>
        <w:adjustRightInd w:val="0"/>
        <w:snapToGrid w:val="0"/>
        <w:spacing w:line="560" w:lineRule="exact"/>
        <w:ind w:left="0" w:firstLine="640" w:firstLineChars="200"/>
        <w:jc w:val="both"/>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w:t>
      </w:r>
      <w:r>
        <w:rPr>
          <w:rFonts w:hint="default"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在规定期限内未维护有其协议采购量的医疗机构对应的配送关系。</w:t>
      </w:r>
    </w:p>
    <w:p w14:paraId="245A68C1">
      <w:pPr>
        <w:keepNext w:val="0"/>
        <w:keepLines w:val="0"/>
        <w:pageBreakBefore w:val="0"/>
        <w:widowControl w:val="0"/>
        <w:kinsoku/>
        <w:wordWrap/>
        <w:overflowPunct w:val="0"/>
        <w:topLinePunct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5.在医疗机构发起合理采购订单7天后仍不响应订单、未足量供应,或者在合同约定时间内出现订单不配送、断供等问题，且医疗机构向属地医保部门或集中采购实施机构反馈。</w:t>
      </w:r>
    </w:p>
    <w:p w14:paraId="44D9F276">
      <w:pPr>
        <w:keepNext w:val="0"/>
        <w:keepLines w:val="0"/>
        <w:pageBreakBefore w:val="0"/>
        <w:widowControl w:val="0"/>
        <w:kinsoku/>
        <w:wordWrap/>
        <w:overflowPunct w:val="0"/>
        <w:topLinePunct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w:t>
      </w:r>
      <w:r>
        <w:rPr>
          <w:rFonts w:hint="default" w:ascii="仿宋_GB2312" w:hAnsi="仿宋_GB2312" w:eastAsia="仿宋_GB2312" w:cs="仿宋_GB2312"/>
          <w:color w:val="auto"/>
          <w:sz w:val="32"/>
          <w:szCs w:val="32"/>
          <w:highlight w:val="none"/>
          <w:u w:val="none"/>
          <w:lang w:val="en-US" w:eastAsia="zh-CN"/>
        </w:rPr>
        <w:t>存在</w:t>
      </w:r>
      <w:r>
        <w:rPr>
          <w:rFonts w:hint="eastAsia" w:ascii="仿宋_GB2312" w:hAnsi="仿宋_GB2312" w:eastAsia="仿宋_GB2312" w:cs="仿宋_GB2312"/>
          <w:color w:val="auto"/>
          <w:sz w:val="32"/>
          <w:szCs w:val="32"/>
          <w:highlight w:val="none"/>
          <w:u w:val="none"/>
          <w:lang w:val="en-US" w:eastAsia="zh-CN"/>
        </w:rPr>
        <w:t>无正当理由拒绝履行承诺事项、拒绝履行购销合同等</w:t>
      </w:r>
      <w:r>
        <w:rPr>
          <w:rFonts w:hint="default" w:ascii="仿宋_GB2312" w:hAnsi="仿宋_GB2312" w:eastAsia="仿宋_GB2312" w:cs="仿宋_GB2312"/>
          <w:color w:val="auto"/>
          <w:sz w:val="32"/>
          <w:szCs w:val="32"/>
          <w:highlight w:val="none"/>
          <w:u w:val="none"/>
          <w:lang w:val="en-US" w:eastAsia="zh-CN"/>
        </w:rPr>
        <w:t>不履约失信行为</w:t>
      </w:r>
      <w:r>
        <w:rPr>
          <w:rFonts w:hint="eastAsia" w:ascii="仿宋_GB2312" w:hAnsi="仿宋_GB2312" w:eastAsia="仿宋_GB2312" w:cs="仿宋_GB2312"/>
          <w:color w:val="auto"/>
          <w:sz w:val="32"/>
          <w:szCs w:val="32"/>
          <w:highlight w:val="none"/>
          <w:u w:val="none"/>
          <w:lang w:val="en-US" w:eastAsia="zh-CN"/>
        </w:rPr>
        <w:t>。</w:t>
      </w:r>
    </w:p>
    <w:p w14:paraId="03E23B1A">
      <w:pPr>
        <w:keepNext w:val="0"/>
        <w:keepLines w:val="0"/>
        <w:pageBreakBefore w:val="0"/>
        <w:widowControl w:val="0"/>
        <w:kinsoku/>
        <w:wordWrap/>
        <w:overflowPunct w:val="0"/>
        <w:topLinePunct w:val="0"/>
        <w:bidi w:val="0"/>
        <w:adjustRightInd w:val="0"/>
        <w:snapToGrid w:val="0"/>
        <w:spacing w:line="560" w:lineRule="exact"/>
        <w:ind w:left="0" w:firstLine="640" w:firstLineChars="200"/>
        <w:jc w:val="both"/>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7.</w:t>
      </w:r>
      <w:r>
        <w:rPr>
          <w:rFonts w:hint="default" w:ascii="仿宋_GB2312" w:hAnsi="仿宋_GB2312" w:eastAsia="仿宋_GB2312" w:cs="仿宋_GB2312"/>
          <w:color w:val="auto"/>
          <w:sz w:val="32"/>
          <w:szCs w:val="32"/>
          <w:highlight w:val="none"/>
          <w:u w:val="none"/>
          <w:lang w:val="en-US" w:eastAsia="zh-CN"/>
        </w:rPr>
        <w:t>其他违约失信的情况。</w:t>
      </w:r>
    </w:p>
    <w:p w14:paraId="7B499879">
      <w:pPr>
        <w:keepNext w:val="0"/>
        <w:keepLines w:val="0"/>
        <w:pageBreakBefore w:val="0"/>
        <w:kinsoku/>
        <w:overflowPunct w:val="0"/>
        <w:topLinePunct w:val="0"/>
        <w:autoSpaceDE/>
        <w:autoSpaceDN/>
        <w:bidi w:val="0"/>
        <w:adjustRightInd w:val="0"/>
        <w:snapToGrid w:val="0"/>
        <w:spacing w:line="560" w:lineRule="exact"/>
        <w:ind w:left="0" w:firstLine="640" w:firstLineChars="200"/>
        <w:jc w:val="both"/>
        <w:textAlignment w:val="auto"/>
        <w:outlineLvl w:val="2"/>
        <w:rPr>
          <w:rFonts w:hint="eastAsia" w:ascii="楷体" w:hAnsi="楷体" w:eastAsia="楷体" w:cs="楷体"/>
          <w:color w:val="auto"/>
          <w:kern w:val="0"/>
          <w:sz w:val="32"/>
          <w:szCs w:val="32"/>
          <w:highlight w:val="none"/>
          <w:u w:val="none"/>
          <w:lang w:val="en-US" w:eastAsia="zh-CN" w:bidi="ar-SA"/>
        </w:rPr>
      </w:pPr>
      <w:bookmarkStart w:id="439" w:name="_Toc22975"/>
      <w:bookmarkStart w:id="440" w:name="_Toc25988"/>
      <w:bookmarkStart w:id="441" w:name="_Toc19481"/>
      <w:bookmarkStart w:id="442" w:name="_Toc32489"/>
      <w:r>
        <w:rPr>
          <w:rFonts w:hint="eastAsia" w:ascii="楷体" w:hAnsi="楷体" w:eastAsia="楷体" w:cs="楷体"/>
          <w:color w:val="auto"/>
          <w:kern w:val="0"/>
          <w:sz w:val="32"/>
          <w:szCs w:val="32"/>
          <w:highlight w:val="none"/>
          <w:u w:val="none"/>
          <w:lang w:val="en-US" w:eastAsia="zh-CN" w:bidi="ar-SA"/>
        </w:rPr>
        <w:t>（三）被认定符合第（一）或（二）项的</w:t>
      </w:r>
      <w:r>
        <w:rPr>
          <w:rFonts w:hint="eastAsia" w:ascii="楷体" w:hAnsi="楷体" w:eastAsia="楷体" w:cs="楷体"/>
          <w:color w:val="auto"/>
          <w:kern w:val="0"/>
          <w:sz w:val="32"/>
          <w:szCs w:val="32"/>
          <w:highlight w:val="none"/>
          <w:u w:val="none"/>
          <w:lang w:val="en-US" w:bidi="ar-SA"/>
        </w:rPr>
        <w:t>相关企业，按以下条款处理</w:t>
      </w:r>
      <w:r>
        <w:rPr>
          <w:rFonts w:hint="eastAsia" w:ascii="楷体" w:hAnsi="楷体" w:eastAsia="楷体" w:cs="楷体"/>
          <w:color w:val="auto"/>
          <w:kern w:val="0"/>
          <w:sz w:val="32"/>
          <w:szCs w:val="32"/>
          <w:highlight w:val="none"/>
          <w:u w:val="none"/>
          <w:lang w:val="en-US" w:eastAsia="zh-CN" w:bidi="ar-SA"/>
        </w:rPr>
        <w:t>：</w:t>
      </w:r>
      <w:bookmarkEnd w:id="439"/>
      <w:bookmarkEnd w:id="440"/>
      <w:bookmarkEnd w:id="441"/>
      <w:bookmarkEnd w:id="442"/>
    </w:p>
    <w:p w14:paraId="6B895946">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kern w:val="0"/>
          <w:sz w:val="32"/>
          <w:szCs w:val="32"/>
          <w:highlight w:val="none"/>
          <w:u w:val="none"/>
          <w:lang w:val="en-US" w:bidi="ar-SA"/>
        </w:rPr>
      </w:pPr>
      <w:r>
        <w:rPr>
          <w:rFonts w:hint="eastAsia" w:ascii="仿宋_GB2312" w:hAnsi="仿宋_GB2312" w:eastAsia="仿宋_GB2312" w:cs="仿宋_GB2312"/>
          <w:color w:val="auto"/>
          <w:kern w:val="0"/>
          <w:sz w:val="32"/>
          <w:szCs w:val="32"/>
          <w:highlight w:val="none"/>
          <w:u w:val="none"/>
          <w:lang w:val="en-US" w:eastAsia="zh-CN" w:bidi="ar-SA"/>
        </w:rPr>
        <w:t>1.</w:t>
      </w:r>
      <w:r>
        <w:rPr>
          <w:rFonts w:hint="eastAsia" w:ascii="仿宋_GB2312" w:hAnsi="仿宋_GB2312" w:eastAsia="仿宋_GB2312" w:cs="仿宋_GB2312"/>
          <w:color w:val="auto"/>
          <w:kern w:val="0"/>
          <w:sz w:val="32"/>
          <w:szCs w:val="32"/>
          <w:highlight w:val="none"/>
          <w:u w:val="none"/>
          <w:lang w:val="en-US" w:bidi="ar-SA"/>
        </w:rPr>
        <w:t>申报企业</w:t>
      </w:r>
      <w:r>
        <w:rPr>
          <w:rFonts w:hint="eastAsia" w:ascii="仿宋_GB2312" w:hAnsi="仿宋_GB2312" w:eastAsia="仿宋_GB2312" w:cs="仿宋_GB2312"/>
          <w:color w:val="auto"/>
          <w:kern w:val="0"/>
          <w:sz w:val="32"/>
          <w:szCs w:val="32"/>
          <w:highlight w:val="none"/>
          <w:u w:val="none"/>
          <w:lang w:val="en-US" w:eastAsia="zh-CN" w:bidi="ar-SA"/>
        </w:rPr>
        <w:t>符合第（一）或（二）项</w:t>
      </w:r>
      <w:r>
        <w:rPr>
          <w:rFonts w:hint="eastAsia" w:ascii="仿宋_GB2312" w:hAnsi="仿宋_GB2312" w:eastAsia="仿宋_GB2312" w:cs="仿宋_GB2312"/>
          <w:color w:val="auto"/>
          <w:kern w:val="0"/>
          <w:sz w:val="32"/>
          <w:szCs w:val="32"/>
          <w:highlight w:val="none"/>
          <w:u w:val="none"/>
          <w:lang w:val="en-US" w:bidi="ar-SA"/>
        </w:rPr>
        <w:t>的，</w:t>
      </w:r>
      <w:r>
        <w:rPr>
          <w:rFonts w:hint="eastAsia" w:ascii="仿宋_GB2312" w:hAnsi="仿宋_GB2312" w:eastAsia="仿宋_GB2312" w:cs="仿宋_GB2312"/>
          <w:color w:val="auto"/>
          <w:kern w:val="0"/>
          <w:sz w:val="32"/>
          <w:szCs w:val="32"/>
          <w:highlight w:val="none"/>
          <w:u w:val="none"/>
          <w:lang w:val="en-US" w:eastAsia="zh-CN" w:bidi="ar-SA"/>
        </w:rPr>
        <w:t>情节较轻的，取消相关产品的申报资格，情节严重的，</w:t>
      </w:r>
      <w:r>
        <w:rPr>
          <w:rFonts w:hint="eastAsia" w:ascii="仿宋_GB2312" w:hAnsi="仿宋_GB2312" w:eastAsia="仿宋_GB2312" w:cs="仿宋_GB2312"/>
          <w:color w:val="auto"/>
          <w:kern w:val="0"/>
          <w:sz w:val="32"/>
          <w:szCs w:val="32"/>
          <w:highlight w:val="none"/>
          <w:u w:val="none"/>
          <w:lang w:val="en-US" w:bidi="ar-SA"/>
        </w:rPr>
        <w:t>取消该企业的申报资格；</w:t>
      </w:r>
      <w:r>
        <w:rPr>
          <w:rFonts w:hint="eastAsia" w:ascii="仿宋_GB2312" w:hAnsi="仿宋_GB2312" w:eastAsia="仿宋_GB2312" w:cs="仿宋_GB2312"/>
          <w:color w:val="auto"/>
          <w:kern w:val="0"/>
          <w:sz w:val="32"/>
          <w:szCs w:val="32"/>
          <w:highlight w:val="none"/>
          <w:u w:val="none"/>
          <w:lang w:val="en-US" w:eastAsia="zh-CN" w:bidi="ar-SA"/>
        </w:rPr>
        <w:t>中选企业符合第（一）或（二）项</w:t>
      </w:r>
      <w:r>
        <w:rPr>
          <w:rFonts w:hint="eastAsia" w:ascii="仿宋_GB2312" w:hAnsi="仿宋_GB2312" w:eastAsia="仿宋_GB2312" w:cs="仿宋_GB2312"/>
          <w:color w:val="auto"/>
          <w:kern w:val="0"/>
          <w:sz w:val="32"/>
          <w:szCs w:val="32"/>
          <w:highlight w:val="none"/>
          <w:u w:val="none"/>
          <w:lang w:val="en-US" w:bidi="ar-SA"/>
        </w:rPr>
        <w:t>的，</w:t>
      </w:r>
      <w:r>
        <w:rPr>
          <w:rFonts w:hint="eastAsia" w:ascii="仿宋_GB2312" w:hAnsi="仿宋_GB2312" w:eastAsia="仿宋_GB2312" w:cs="仿宋_GB2312"/>
          <w:color w:val="auto"/>
          <w:kern w:val="0"/>
          <w:sz w:val="32"/>
          <w:szCs w:val="32"/>
          <w:highlight w:val="none"/>
          <w:u w:val="none"/>
          <w:lang w:val="en-US" w:eastAsia="zh-CN" w:bidi="ar-SA"/>
        </w:rPr>
        <w:t>情节较轻的，取消相关产品的中选资格，情节严重的，</w:t>
      </w:r>
      <w:r>
        <w:rPr>
          <w:rFonts w:hint="eastAsia" w:ascii="仿宋_GB2312" w:hAnsi="仿宋_GB2312" w:eastAsia="仿宋_GB2312" w:cs="仿宋_GB2312"/>
          <w:color w:val="auto"/>
          <w:kern w:val="0"/>
          <w:sz w:val="32"/>
          <w:szCs w:val="32"/>
          <w:highlight w:val="none"/>
          <w:u w:val="none"/>
          <w:lang w:val="en-US" w:bidi="ar-SA"/>
        </w:rPr>
        <w:t>取消该企业的</w:t>
      </w:r>
      <w:r>
        <w:rPr>
          <w:rFonts w:hint="eastAsia" w:ascii="仿宋_GB2312" w:hAnsi="仿宋_GB2312" w:eastAsia="仿宋_GB2312" w:cs="仿宋_GB2312"/>
          <w:color w:val="auto"/>
          <w:kern w:val="0"/>
          <w:sz w:val="32"/>
          <w:szCs w:val="32"/>
          <w:highlight w:val="none"/>
          <w:u w:val="none"/>
          <w:lang w:val="en-US" w:eastAsia="zh-CN" w:bidi="ar-SA"/>
        </w:rPr>
        <w:t>中选资格。</w:t>
      </w:r>
      <w:r>
        <w:rPr>
          <w:rFonts w:hint="eastAsia" w:ascii="仿宋_GB2312" w:hAnsi="仿宋_GB2312" w:eastAsia="仿宋_GB2312" w:cs="仿宋_GB2312"/>
          <w:color w:val="auto"/>
          <w:kern w:val="0"/>
          <w:sz w:val="32"/>
          <w:szCs w:val="32"/>
          <w:highlight w:val="none"/>
          <w:u w:val="none"/>
          <w:lang w:val="en-US" w:bidi="ar-SA"/>
        </w:rPr>
        <w:t>同时视情节轻重</w:t>
      </w:r>
      <w:r>
        <w:rPr>
          <w:rFonts w:hint="eastAsia" w:ascii="仿宋_GB2312" w:hAnsi="仿宋_GB2312" w:eastAsia="仿宋_GB2312" w:cs="仿宋_GB2312"/>
          <w:color w:val="auto"/>
          <w:kern w:val="0"/>
          <w:sz w:val="32"/>
          <w:szCs w:val="32"/>
          <w:highlight w:val="none"/>
          <w:u w:val="none"/>
          <w:lang w:val="en-US" w:eastAsia="zh-CN" w:bidi="ar-SA"/>
        </w:rPr>
        <w:t>及客观实际，可</w:t>
      </w:r>
      <w:r>
        <w:rPr>
          <w:rFonts w:hint="eastAsia" w:ascii="仿宋_GB2312" w:hAnsi="仿宋_GB2312" w:eastAsia="仿宋_GB2312" w:cs="仿宋_GB2312"/>
          <w:color w:val="auto"/>
          <w:kern w:val="0"/>
          <w:sz w:val="32"/>
          <w:szCs w:val="32"/>
          <w:highlight w:val="none"/>
          <w:u w:val="none"/>
          <w:lang w:val="en-US" w:bidi="ar-SA"/>
        </w:rPr>
        <w:t>取消上述企业或品种在</w:t>
      </w:r>
      <w:r>
        <w:rPr>
          <w:rFonts w:hint="eastAsia" w:ascii="仿宋_GB2312" w:hAnsi="仿宋_GB2312" w:eastAsia="仿宋_GB2312" w:cs="仿宋_GB2312"/>
          <w:color w:val="auto"/>
          <w:kern w:val="0"/>
          <w:sz w:val="32"/>
          <w:szCs w:val="32"/>
          <w:highlight w:val="none"/>
          <w:u w:val="none"/>
          <w:lang w:val="en-US" w:eastAsia="zh-CN" w:bidi="ar-SA"/>
        </w:rPr>
        <w:t>有关部门出具认定结果</w:t>
      </w:r>
      <w:r>
        <w:rPr>
          <w:rFonts w:hint="eastAsia" w:ascii="仿宋_GB2312" w:hAnsi="仿宋_GB2312" w:eastAsia="仿宋_GB2312" w:cs="仿宋_GB2312"/>
          <w:color w:val="auto"/>
          <w:kern w:val="0"/>
          <w:sz w:val="32"/>
          <w:szCs w:val="32"/>
          <w:highlight w:val="none"/>
          <w:u w:val="none"/>
          <w:lang w:val="en-US" w:bidi="ar-SA"/>
        </w:rPr>
        <w:t>之日起 2 年内参与</w:t>
      </w:r>
      <w:r>
        <w:rPr>
          <w:rFonts w:hint="eastAsia" w:ascii="仿宋_GB2312" w:hAnsi="仿宋_GB2312" w:eastAsia="仿宋_GB2312" w:cs="仿宋_GB2312"/>
          <w:color w:val="auto"/>
          <w:kern w:val="0"/>
          <w:sz w:val="32"/>
          <w:szCs w:val="32"/>
          <w:highlight w:val="none"/>
          <w:u w:val="none"/>
          <w:lang w:val="en-US" w:eastAsia="zh-CN" w:bidi="ar-SA"/>
        </w:rPr>
        <w:t>本省医用耗材集中</w:t>
      </w:r>
      <w:r>
        <w:rPr>
          <w:rFonts w:hint="eastAsia" w:ascii="仿宋_GB2312" w:hAnsi="仿宋_GB2312" w:eastAsia="仿宋_GB2312" w:cs="仿宋_GB2312"/>
          <w:color w:val="auto"/>
          <w:sz w:val="32"/>
          <w:szCs w:val="32"/>
          <w:highlight w:val="none"/>
          <w:u w:val="none"/>
          <w:lang w:val="en-US" w:eastAsia="zh-CN"/>
        </w:rPr>
        <w:t>采购</w:t>
      </w:r>
      <w:r>
        <w:rPr>
          <w:rFonts w:hint="eastAsia" w:ascii="仿宋_GB2312" w:hAnsi="仿宋_GB2312" w:eastAsia="仿宋_GB2312" w:cs="仿宋_GB2312"/>
          <w:color w:val="auto"/>
          <w:kern w:val="0"/>
          <w:sz w:val="32"/>
          <w:szCs w:val="32"/>
          <w:highlight w:val="none"/>
          <w:u w:val="none"/>
          <w:lang w:val="en-US" w:bidi="ar-SA"/>
        </w:rPr>
        <w:t>活动的资格。</w:t>
      </w:r>
      <w:r>
        <w:rPr>
          <w:rFonts w:hint="eastAsia" w:ascii="仿宋_GB2312" w:hAnsi="仿宋_GB2312" w:eastAsia="仿宋_GB2312" w:cs="仿宋_GB2312"/>
          <w:color w:val="auto"/>
          <w:sz w:val="32"/>
          <w:szCs w:val="32"/>
          <w:highlight w:val="none"/>
          <w:u w:val="none"/>
          <w:lang w:val="en-US" w:eastAsia="zh-CN"/>
        </w:rPr>
        <w:t>涉及取消中选资格的，相关协议采购量无效。</w:t>
      </w:r>
    </w:p>
    <w:p w14:paraId="728B0F15">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bidi="ar-SA"/>
        </w:rPr>
        <w:t>2.</w:t>
      </w:r>
      <w:r>
        <w:rPr>
          <w:rFonts w:hint="eastAsia" w:ascii="仿宋_GB2312" w:hAnsi="仿宋_GB2312" w:eastAsia="仿宋_GB2312" w:cs="仿宋_GB2312"/>
          <w:color w:val="auto"/>
          <w:kern w:val="0"/>
          <w:sz w:val="32"/>
          <w:szCs w:val="32"/>
          <w:highlight w:val="none"/>
          <w:u w:val="none"/>
          <w:lang w:val="en-US" w:bidi="ar-SA"/>
        </w:rPr>
        <w:t>配送企业</w:t>
      </w:r>
      <w:r>
        <w:rPr>
          <w:rFonts w:hint="eastAsia" w:ascii="仿宋_GB2312" w:hAnsi="仿宋_GB2312" w:eastAsia="仿宋_GB2312" w:cs="仿宋_GB2312"/>
          <w:color w:val="auto"/>
          <w:kern w:val="0"/>
          <w:sz w:val="32"/>
          <w:szCs w:val="32"/>
          <w:highlight w:val="none"/>
          <w:u w:val="none"/>
          <w:lang w:val="en-US" w:eastAsia="zh-CN" w:bidi="ar-SA"/>
        </w:rPr>
        <w:t>符合第（一）或（二）项</w:t>
      </w:r>
      <w:r>
        <w:rPr>
          <w:rFonts w:hint="eastAsia" w:ascii="仿宋_GB2312" w:hAnsi="仿宋_GB2312" w:eastAsia="仿宋_GB2312" w:cs="仿宋_GB2312"/>
          <w:color w:val="auto"/>
          <w:kern w:val="0"/>
          <w:sz w:val="32"/>
          <w:szCs w:val="32"/>
          <w:highlight w:val="none"/>
          <w:u w:val="none"/>
          <w:lang w:val="en-US" w:bidi="ar-SA"/>
        </w:rPr>
        <w:t>的，取消该企业</w:t>
      </w:r>
      <w:r>
        <w:rPr>
          <w:rFonts w:hint="eastAsia" w:ascii="仿宋_GB2312" w:hAnsi="仿宋_GB2312" w:eastAsia="仿宋_GB2312" w:cs="仿宋_GB2312"/>
          <w:color w:val="auto"/>
          <w:kern w:val="0"/>
          <w:sz w:val="32"/>
          <w:szCs w:val="32"/>
          <w:highlight w:val="none"/>
          <w:u w:val="none"/>
          <w:lang w:val="en-US" w:eastAsia="zh-CN" w:bidi="ar-SA"/>
        </w:rPr>
        <w:t>在本次</w:t>
      </w:r>
      <w:r>
        <w:rPr>
          <w:rFonts w:hint="eastAsia" w:ascii="仿宋_GB2312" w:hAnsi="仿宋_GB2312" w:eastAsia="仿宋_GB2312" w:cs="仿宋_GB2312"/>
          <w:color w:val="auto"/>
          <w:sz w:val="32"/>
          <w:szCs w:val="32"/>
          <w:highlight w:val="none"/>
          <w:u w:val="none"/>
          <w:lang w:eastAsia="zh-CN"/>
        </w:rPr>
        <w:t>密网支架带量联动采购</w:t>
      </w:r>
      <w:r>
        <w:rPr>
          <w:rFonts w:hint="eastAsia" w:ascii="仿宋_GB2312" w:hAnsi="仿宋_GB2312" w:eastAsia="仿宋_GB2312" w:cs="仿宋_GB2312"/>
          <w:color w:val="auto"/>
          <w:kern w:val="0"/>
          <w:sz w:val="32"/>
          <w:szCs w:val="32"/>
          <w:highlight w:val="none"/>
          <w:u w:val="none"/>
          <w:lang w:val="en-US" w:eastAsia="zh-CN" w:bidi="ar-SA"/>
        </w:rPr>
        <w:t>周期内的</w:t>
      </w:r>
      <w:r>
        <w:rPr>
          <w:rFonts w:hint="eastAsia" w:ascii="仿宋_GB2312" w:hAnsi="仿宋_GB2312" w:eastAsia="仿宋_GB2312" w:cs="仿宋_GB2312"/>
          <w:color w:val="auto"/>
          <w:kern w:val="0"/>
          <w:sz w:val="32"/>
          <w:szCs w:val="32"/>
          <w:highlight w:val="none"/>
          <w:u w:val="none"/>
          <w:lang w:val="en-US" w:bidi="ar-SA"/>
        </w:rPr>
        <w:t>配送资格</w:t>
      </w:r>
      <w:r>
        <w:rPr>
          <w:rFonts w:hint="eastAsia" w:ascii="仿宋_GB2312" w:hAnsi="仿宋_GB2312" w:eastAsia="仿宋_GB2312" w:cs="仿宋_GB2312"/>
          <w:color w:val="auto"/>
          <w:kern w:val="0"/>
          <w:sz w:val="32"/>
          <w:szCs w:val="32"/>
          <w:highlight w:val="none"/>
          <w:u w:val="none"/>
          <w:lang w:val="en-US" w:eastAsia="zh-CN" w:bidi="ar-SA"/>
        </w:rPr>
        <w:t>，</w:t>
      </w:r>
      <w:r>
        <w:rPr>
          <w:rFonts w:hint="eastAsia" w:ascii="仿宋_GB2312" w:hAnsi="仿宋_GB2312" w:eastAsia="仿宋_GB2312" w:cs="仿宋_GB2312"/>
          <w:color w:val="auto"/>
          <w:kern w:val="0"/>
          <w:sz w:val="32"/>
          <w:szCs w:val="32"/>
          <w:highlight w:val="none"/>
          <w:u w:val="none"/>
          <w:lang w:val="en-US" w:bidi="ar-SA"/>
        </w:rPr>
        <w:t>情节</w:t>
      </w:r>
      <w:r>
        <w:rPr>
          <w:rFonts w:hint="eastAsia" w:ascii="仿宋_GB2312" w:hAnsi="仿宋_GB2312" w:eastAsia="仿宋_GB2312" w:cs="仿宋_GB2312"/>
          <w:color w:val="auto"/>
          <w:kern w:val="0"/>
          <w:sz w:val="32"/>
          <w:szCs w:val="32"/>
          <w:highlight w:val="none"/>
          <w:u w:val="none"/>
          <w:lang w:val="en-US" w:eastAsia="zh-CN" w:bidi="ar-SA"/>
        </w:rPr>
        <w:t>严重的，可取消该企业</w:t>
      </w:r>
      <w:r>
        <w:rPr>
          <w:rFonts w:hint="eastAsia" w:ascii="仿宋_GB2312" w:hAnsi="仿宋_GB2312" w:eastAsia="仿宋_GB2312" w:cs="仿宋_GB2312"/>
          <w:color w:val="auto"/>
          <w:kern w:val="0"/>
          <w:sz w:val="32"/>
          <w:szCs w:val="32"/>
          <w:highlight w:val="none"/>
          <w:u w:val="none"/>
          <w:lang w:val="en-US" w:bidi="ar-SA"/>
        </w:rPr>
        <w:t>在</w:t>
      </w:r>
      <w:r>
        <w:rPr>
          <w:rFonts w:hint="eastAsia" w:ascii="仿宋_GB2312" w:hAnsi="仿宋_GB2312" w:eastAsia="仿宋_GB2312" w:cs="仿宋_GB2312"/>
          <w:color w:val="auto"/>
          <w:kern w:val="0"/>
          <w:sz w:val="32"/>
          <w:szCs w:val="32"/>
          <w:highlight w:val="none"/>
          <w:u w:val="none"/>
          <w:lang w:val="en-US" w:eastAsia="zh-CN" w:bidi="ar-SA"/>
        </w:rPr>
        <w:t>有关部门出具认定结果</w:t>
      </w:r>
      <w:r>
        <w:rPr>
          <w:rFonts w:hint="eastAsia" w:ascii="仿宋_GB2312" w:hAnsi="仿宋_GB2312" w:eastAsia="仿宋_GB2312" w:cs="仿宋_GB2312"/>
          <w:color w:val="auto"/>
          <w:kern w:val="0"/>
          <w:sz w:val="32"/>
          <w:szCs w:val="32"/>
          <w:highlight w:val="none"/>
          <w:u w:val="none"/>
          <w:lang w:val="en-US" w:bidi="ar-SA"/>
        </w:rPr>
        <w:t>之日起 2 年内参与</w:t>
      </w:r>
      <w:r>
        <w:rPr>
          <w:rFonts w:hint="eastAsia" w:ascii="仿宋_GB2312" w:hAnsi="仿宋_GB2312" w:eastAsia="仿宋_GB2312" w:cs="仿宋_GB2312"/>
          <w:color w:val="auto"/>
          <w:kern w:val="0"/>
          <w:sz w:val="32"/>
          <w:szCs w:val="32"/>
          <w:highlight w:val="none"/>
          <w:u w:val="none"/>
          <w:lang w:val="en-US" w:eastAsia="zh-CN" w:bidi="ar-SA"/>
        </w:rPr>
        <w:t>本省医用耗材</w:t>
      </w:r>
      <w:r>
        <w:rPr>
          <w:rFonts w:hint="eastAsia" w:ascii="仿宋_GB2312" w:hAnsi="仿宋_GB2312" w:eastAsia="仿宋_GB2312" w:cs="仿宋_GB2312"/>
          <w:color w:val="auto"/>
          <w:sz w:val="32"/>
          <w:szCs w:val="32"/>
          <w:highlight w:val="none"/>
          <w:u w:val="none"/>
          <w:lang w:val="en-US" w:eastAsia="zh-CN"/>
        </w:rPr>
        <w:t>集中采购</w:t>
      </w:r>
      <w:r>
        <w:rPr>
          <w:rFonts w:hint="eastAsia" w:ascii="仿宋_GB2312" w:hAnsi="仿宋_GB2312" w:eastAsia="仿宋_GB2312" w:cs="仿宋_GB2312"/>
          <w:color w:val="auto"/>
          <w:kern w:val="0"/>
          <w:sz w:val="32"/>
          <w:szCs w:val="32"/>
          <w:highlight w:val="none"/>
          <w:u w:val="none"/>
          <w:lang w:val="en-US" w:bidi="ar-SA"/>
        </w:rPr>
        <w:t>的配送资格。</w:t>
      </w:r>
      <w:r>
        <w:rPr>
          <w:rFonts w:hint="eastAsia" w:ascii="仿宋_GB2312" w:hAnsi="仿宋_GB2312" w:eastAsia="仿宋_GB2312" w:cs="仿宋_GB2312"/>
          <w:color w:val="auto"/>
          <w:sz w:val="32"/>
          <w:szCs w:val="32"/>
          <w:highlight w:val="none"/>
          <w:u w:val="none"/>
          <w:lang w:val="en-US" w:eastAsia="zh-CN"/>
        </w:rPr>
        <w:t>涉及取消配送资格的，该配送企业的协议采购量无效，由中选企业重新指定配送企业并签订购销合同。</w:t>
      </w:r>
    </w:p>
    <w:p w14:paraId="113AFA59">
      <w:pPr>
        <w:keepNext w:val="0"/>
        <w:keepLines w:val="0"/>
        <w:pageBreakBefore w:val="0"/>
        <w:widowControl w:val="0"/>
        <w:kinsoku/>
        <w:wordWrap/>
        <w:overflowPunct w:val="0"/>
        <w:topLinePunct w:val="0"/>
        <w:bidi w:val="0"/>
        <w:adjustRightInd w:val="0"/>
        <w:snapToGrid w:val="0"/>
        <w:spacing w:line="560" w:lineRule="exact"/>
        <w:ind w:left="0" w:firstLine="640" w:firstLineChars="200"/>
        <w:jc w:val="both"/>
        <w:textAlignment w:val="auto"/>
        <w:outlineLvl w:val="2"/>
        <w:rPr>
          <w:rFonts w:hint="eastAsia" w:ascii="楷体" w:hAnsi="楷体" w:eastAsia="楷体" w:cs="楷体"/>
          <w:color w:val="auto"/>
          <w:sz w:val="32"/>
          <w:szCs w:val="32"/>
          <w:highlight w:val="none"/>
          <w:u w:val="none"/>
          <w:lang w:val="en-US" w:eastAsia="zh-CN"/>
        </w:rPr>
      </w:pPr>
      <w:bookmarkStart w:id="443" w:name="_Toc18996"/>
      <w:bookmarkStart w:id="444" w:name="_Toc10994"/>
      <w:bookmarkStart w:id="445" w:name="_Toc20334"/>
      <w:bookmarkStart w:id="446" w:name="_Toc17828"/>
      <w:bookmarkStart w:id="447" w:name="_Toc2066"/>
      <w:bookmarkStart w:id="448" w:name="_Toc1312"/>
      <w:bookmarkStart w:id="449" w:name="_Toc2565"/>
      <w:bookmarkStart w:id="450" w:name="_Toc28447"/>
      <w:bookmarkStart w:id="451" w:name="_Toc32163"/>
      <w:r>
        <w:rPr>
          <w:rFonts w:hint="eastAsia" w:ascii="楷体" w:hAnsi="楷体" w:eastAsia="楷体" w:cs="楷体"/>
          <w:color w:val="auto"/>
          <w:sz w:val="32"/>
          <w:szCs w:val="32"/>
          <w:highlight w:val="none"/>
          <w:u w:val="none"/>
          <w:lang w:val="en-US" w:eastAsia="zh-CN"/>
        </w:rPr>
        <w:t>（四）其他事项</w:t>
      </w:r>
      <w:bookmarkEnd w:id="443"/>
      <w:bookmarkEnd w:id="444"/>
      <w:bookmarkEnd w:id="445"/>
      <w:bookmarkEnd w:id="446"/>
      <w:bookmarkEnd w:id="447"/>
      <w:bookmarkEnd w:id="448"/>
      <w:bookmarkEnd w:id="449"/>
      <w:bookmarkEnd w:id="450"/>
      <w:bookmarkEnd w:id="451"/>
    </w:p>
    <w:p w14:paraId="1BC10AD2">
      <w:pPr>
        <w:keepNext w:val="0"/>
        <w:keepLines w:val="0"/>
        <w:pageBreakBefore w:val="0"/>
        <w:widowControl w:val="0"/>
        <w:kinsoku/>
        <w:wordWrap/>
        <w:overflowPunct w:val="0"/>
        <w:topLinePunct w:val="0"/>
        <w:bidi w:val="0"/>
        <w:adjustRightInd w:val="0"/>
        <w:snapToGrid w:val="0"/>
        <w:spacing w:line="560" w:lineRule="exact"/>
        <w:ind w:left="0" w:firstLine="640" w:firstLineChars="200"/>
        <w:jc w:val="both"/>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1.采购周</w:t>
      </w:r>
      <w:r>
        <w:rPr>
          <w:rFonts w:hint="eastAsia" w:ascii="仿宋_GB2312" w:hAnsi="仿宋_GB2312" w:eastAsia="仿宋_GB2312" w:cs="仿宋_GB2312"/>
          <w:color w:val="auto"/>
          <w:sz w:val="32"/>
          <w:szCs w:val="32"/>
          <w:highlight w:val="none"/>
          <w:u w:val="none"/>
          <w:lang w:eastAsia="zh-CN"/>
        </w:rPr>
        <w:t>期</w:t>
      </w:r>
      <w:r>
        <w:rPr>
          <w:rFonts w:hint="eastAsia" w:ascii="仿宋_GB2312" w:hAnsi="仿宋_GB2312" w:eastAsia="仿宋_GB2312" w:cs="仿宋_GB2312"/>
          <w:color w:val="auto"/>
          <w:sz w:val="32"/>
          <w:szCs w:val="32"/>
          <w:highlight w:val="none"/>
          <w:u w:val="none"/>
        </w:rPr>
        <w:t>内，中选</w:t>
      </w:r>
      <w:r>
        <w:rPr>
          <w:rFonts w:hint="eastAsia" w:ascii="仿宋_GB2312" w:hAnsi="仿宋_GB2312" w:eastAsia="仿宋_GB2312" w:cs="仿宋_GB2312"/>
          <w:color w:val="auto"/>
          <w:sz w:val="32"/>
          <w:szCs w:val="32"/>
          <w:highlight w:val="none"/>
          <w:u w:val="none"/>
          <w:lang w:val="en-US" w:eastAsia="zh-CN"/>
        </w:rPr>
        <w:t>的</w:t>
      </w:r>
      <w:r>
        <w:rPr>
          <w:rFonts w:hint="eastAsia" w:ascii="仿宋_GB2312" w:hAnsi="仿宋_GB2312" w:eastAsia="仿宋_GB2312" w:cs="仿宋_GB2312"/>
          <w:color w:val="auto"/>
          <w:sz w:val="32"/>
          <w:szCs w:val="32"/>
          <w:highlight w:val="none"/>
          <w:u w:val="none"/>
        </w:rPr>
        <w:t>企业应确保中选注册证有效</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深圳交易中心</w:t>
      </w:r>
      <w:r>
        <w:rPr>
          <w:rFonts w:hint="eastAsia" w:ascii="仿宋_GB2312" w:hAnsi="仿宋_GB2312" w:eastAsia="仿宋_GB2312" w:cs="仿宋_GB2312"/>
          <w:color w:val="auto"/>
          <w:sz w:val="32"/>
          <w:szCs w:val="32"/>
          <w:highlight w:val="none"/>
          <w:u w:val="none"/>
        </w:rPr>
        <w:t>可以暂停或取消失效注册证对应的所有</w:t>
      </w:r>
      <w:r>
        <w:rPr>
          <w:rFonts w:hint="eastAsia" w:ascii="仿宋_GB2312" w:hAnsi="仿宋_GB2312" w:eastAsia="仿宋_GB2312" w:cs="仿宋_GB2312"/>
          <w:color w:val="auto"/>
          <w:sz w:val="32"/>
          <w:szCs w:val="32"/>
          <w:highlight w:val="none"/>
          <w:u w:val="none"/>
          <w:lang w:eastAsia="zh-CN"/>
        </w:rPr>
        <w:t>中选产品</w:t>
      </w:r>
      <w:r>
        <w:rPr>
          <w:rFonts w:hint="eastAsia" w:ascii="仿宋_GB2312" w:hAnsi="仿宋_GB2312" w:eastAsia="仿宋_GB2312" w:cs="仿宋_GB2312"/>
          <w:color w:val="auto"/>
          <w:sz w:val="32"/>
          <w:szCs w:val="32"/>
          <w:highlight w:val="none"/>
          <w:u w:val="none"/>
        </w:rPr>
        <w:t>的挂网资格</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因</w:t>
      </w:r>
      <w:r>
        <w:rPr>
          <w:rFonts w:hint="eastAsia" w:ascii="仿宋_GB2312" w:hAnsi="仿宋_GB2312" w:eastAsia="仿宋_GB2312" w:cs="仿宋_GB2312"/>
          <w:color w:val="auto"/>
          <w:sz w:val="32"/>
          <w:szCs w:val="32"/>
          <w:highlight w:val="none"/>
          <w:u w:val="none"/>
          <w:lang w:val="en-US" w:eastAsia="zh-CN"/>
        </w:rPr>
        <w:t>注册证失效</w:t>
      </w:r>
      <w:r>
        <w:rPr>
          <w:rFonts w:hint="eastAsia" w:ascii="仿宋_GB2312" w:hAnsi="仿宋_GB2312" w:eastAsia="仿宋_GB2312" w:cs="仿宋_GB2312"/>
          <w:color w:val="auto"/>
          <w:sz w:val="32"/>
          <w:szCs w:val="32"/>
          <w:highlight w:val="none"/>
          <w:u w:val="none"/>
        </w:rPr>
        <w:t>导致</w:t>
      </w:r>
      <w:r>
        <w:rPr>
          <w:rFonts w:hint="eastAsia" w:ascii="仿宋_GB2312" w:hAnsi="仿宋_GB2312" w:eastAsia="仿宋_GB2312" w:cs="仿宋_GB2312"/>
          <w:color w:val="auto"/>
          <w:sz w:val="32"/>
          <w:szCs w:val="32"/>
          <w:highlight w:val="none"/>
          <w:u w:val="none"/>
          <w:lang w:eastAsia="zh-CN"/>
        </w:rPr>
        <w:t>中选产品</w:t>
      </w:r>
      <w:r>
        <w:rPr>
          <w:rFonts w:hint="eastAsia" w:ascii="仿宋_GB2312" w:hAnsi="仿宋_GB2312" w:eastAsia="仿宋_GB2312" w:cs="仿宋_GB2312"/>
          <w:color w:val="auto"/>
          <w:sz w:val="32"/>
          <w:szCs w:val="32"/>
          <w:highlight w:val="none"/>
          <w:u w:val="none"/>
        </w:rPr>
        <w:t>无法正常供应的</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相关</w:t>
      </w:r>
      <w:r>
        <w:rPr>
          <w:rFonts w:hint="eastAsia" w:ascii="仿宋_GB2312" w:hAnsi="仿宋_GB2312" w:eastAsia="仿宋_GB2312" w:cs="仿宋_GB2312"/>
          <w:color w:val="auto"/>
          <w:sz w:val="32"/>
          <w:szCs w:val="32"/>
          <w:highlight w:val="none"/>
          <w:u w:val="none"/>
          <w:lang w:val="en-US" w:eastAsia="zh-CN"/>
        </w:rPr>
        <w:t>协议采购量无效</w:t>
      </w:r>
      <w:r>
        <w:rPr>
          <w:rFonts w:hint="eastAsia" w:ascii="仿宋_GB2312" w:hAnsi="仿宋_GB2312" w:eastAsia="仿宋_GB2312" w:cs="仿宋_GB2312"/>
          <w:color w:val="auto"/>
          <w:sz w:val="32"/>
          <w:szCs w:val="32"/>
          <w:highlight w:val="none"/>
          <w:u w:val="none"/>
        </w:rPr>
        <w:t>。</w:t>
      </w:r>
    </w:p>
    <w:p w14:paraId="47280227">
      <w:pPr>
        <w:keepNext w:val="0"/>
        <w:keepLines w:val="0"/>
        <w:pageBreakBefore w:val="0"/>
        <w:widowControl w:val="0"/>
        <w:kinsoku/>
        <w:wordWrap/>
        <w:overflowPunct w:val="0"/>
        <w:topLinePunct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因</w:t>
      </w:r>
      <w:r>
        <w:rPr>
          <w:rFonts w:hint="eastAsia" w:ascii="仿宋_GB2312" w:hAnsi="仿宋_GB2312" w:eastAsia="仿宋_GB2312" w:cs="仿宋_GB2312"/>
          <w:color w:val="auto"/>
          <w:sz w:val="32"/>
          <w:szCs w:val="32"/>
          <w:highlight w:val="none"/>
          <w:u w:val="none"/>
          <w:lang w:eastAsia="zh-CN"/>
        </w:rPr>
        <w:t>中选产品</w:t>
      </w:r>
      <w:r>
        <w:rPr>
          <w:rFonts w:hint="eastAsia" w:ascii="仿宋_GB2312" w:hAnsi="仿宋_GB2312" w:eastAsia="仿宋_GB2312" w:cs="仿宋_GB2312"/>
          <w:color w:val="auto"/>
          <w:sz w:val="32"/>
          <w:szCs w:val="32"/>
          <w:highlight w:val="none"/>
          <w:u w:val="none"/>
        </w:rPr>
        <w:t>存在生产质量问题，给患者造成</w:t>
      </w:r>
      <w:r>
        <w:rPr>
          <w:rFonts w:hint="eastAsia" w:ascii="仿宋_GB2312" w:hAnsi="仿宋_GB2312" w:eastAsia="仿宋_GB2312" w:cs="仿宋_GB2312"/>
          <w:color w:val="auto"/>
          <w:sz w:val="32"/>
          <w:szCs w:val="32"/>
          <w:highlight w:val="none"/>
          <w:u w:val="none"/>
          <w:lang w:val="en-US" w:eastAsia="zh-CN"/>
        </w:rPr>
        <w:t>人身伤害或者其他</w:t>
      </w:r>
      <w:r>
        <w:rPr>
          <w:rFonts w:hint="eastAsia" w:ascii="仿宋_GB2312" w:hAnsi="仿宋_GB2312" w:eastAsia="仿宋_GB2312" w:cs="仿宋_GB2312"/>
          <w:color w:val="auto"/>
          <w:sz w:val="32"/>
          <w:szCs w:val="32"/>
          <w:highlight w:val="none"/>
          <w:u w:val="none"/>
        </w:rPr>
        <w:t>损失的，按照相关规定，由中选企业承担全部赔偿责任。</w:t>
      </w:r>
    </w:p>
    <w:p w14:paraId="6398A129">
      <w:pPr>
        <w:keepNext w:val="0"/>
        <w:keepLines w:val="0"/>
        <w:pageBreakBefore w:val="0"/>
        <w:widowControl w:val="0"/>
        <w:kinsoku/>
        <w:wordWrap/>
        <w:overflowPunct w:val="0"/>
        <w:topLinePunct w:val="0"/>
        <w:bidi w:val="0"/>
        <w:adjustRightInd w:val="0"/>
        <w:snapToGrid w:val="0"/>
        <w:spacing w:line="560" w:lineRule="exact"/>
        <w:ind w:left="0" w:firstLine="640" w:firstLineChars="200"/>
        <w:jc w:val="both"/>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3.采购周期内，中选企业出现无法保证供应等情况，致使采购协议无法继续履行时，广东省医保部门与该企业协商后，相关协议采购量无效。因保障供应产生的额外支出由无法履行采购协议的原中选企业承担。</w:t>
      </w:r>
    </w:p>
    <w:p w14:paraId="007D8433">
      <w:pPr>
        <w:keepNext w:val="0"/>
        <w:keepLines w:val="0"/>
        <w:pageBreakBefore w:val="0"/>
        <w:kinsoku/>
        <w:overflowPunct w:val="0"/>
        <w:topLinePunct w:val="0"/>
        <w:bidi w:val="0"/>
        <w:adjustRightInd w:val="0"/>
        <w:snapToGrid w:val="0"/>
        <w:spacing w:line="560" w:lineRule="exact"/>
        <w:ind w:left="0" w:firstLine="640" w:firstLineChars="200"/>
        <w:jc w:val="both"/>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w:t>
      </w:r>
      <w:r>
        <w:rPr>
          <w:rFonts w:hint="default" w:ascii="仿宋_GB2312" w:hAnsi="仿宋_GB2312" w:eastAsia="仿宋_GB2312" w:cs="仿宋_GB2312"/>
          <w:color w:val="auto"/>
          <w:sz w:val="32"/>
          <w:szCs w:val="32"/>
          <w:highlight w:val="none"/>
          <w:u w:val="none"/>
          <w:lang w:val="en-US" w:eastAsia="zh-CN"/>
        </w:rPr>
        <w:t>鼓励相关企业在</w:t>
      </w:r>
      <w:r>
        <w:rPr>
          <w:rFonts w:hint="eastAsia" w:ascii="仿宋_GB2312" w:hAnsi="仿宋_GB2312" w:eastAsia="仿宋_GB2312" w:cs="仿宋_GB2312"/>
          <w:color w:val="auto"/>
          <w:sz w:val="32"/>
          <w:szCs w:val="32"/>
          <w:highlight w:val="none"/>
          <w:u w:val="none"/>
          <w:lang w:val="en-US" w:eastAsia="zh-CN"/>
        </w:rPr>
        <w:t>集采</w:t>
      </w:r>
      <w:r>
        <w:rPr>
          <w:rFonts w:hint="default" w:ascii="仿宋_GB2312" w:hAnsi="仿宋_GB2312" w:eastAsia="仿宋_GB2312" w:cs="仿宋_GB2312"/>
          <w:color w:val="auto"/>
          <w:sz w:val="32"/>
          <w:szCs w:val="32"/>
          <w:highlight w:val="none"/>
          <w:u w:val="none"/>
          <w:lang w:val="en-US" w:eastAsia="zh-CN"/>
        </w:rPr>
        <w:t>过程中积极主动提供围标、串标、弄虚作假等证据。</w:t>
      </w:r>
    </w:p>
    <w:p w14:paraId="4ED5CA45">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在</w:t>
      </w:r>
      <w:r>
        <w:rPr>
          <w:rFonts w:hint="eastAsia" w:ascii="仿宋_GB2312" w:hAnsi="仿宋_GB2312" w:eastAsia="仿宋_GB2312" w:cs="仿宋_GB2312"/>
          <w:color w:val="auto"/>
          <w:sz w:val="32"/>
          <w:szCs w:val="32"/>
          <w:highlight w:val="none"/>
          <w:u w:val="none"/>
          <w:lang w:val="en-US" w:eastAsia="zh-CN"/>
        </w:rPr>
        <w:t>采购周</w:t>
      </w:r>
      <w:r>
        <w:rPr>
          <w:rFonts w:hint="eastAsia" w:ascii="仿宋_GB2312" w:hAnsi="仿宋_GB2312" w:eastAsia="仿宋_GB2312" w:cs="仿宋_GB2312"/>
          <w:color w:val="auto"/>
          <w:sz w:val="32"/>
          <w:szCs w:val="32"/>
          <w:highlight w:val="none"/>
          <w:u w:val="none"/>
          <w:lang w:eastAsia="zh-CN"/>
        </w:rPr>
        <w:t>期</w:t>
      </w:r>
      <w:r>
        <w:rPr>
          <w:rFonts w:hint="eastAsia" w:ascii="仿宋_GB2312" w:hAnsi="仿宋_GB2312" w:eastAsia="仿宋_GB2312" w:cs="仿宋_GB2312"/>
          <w:color w:val="auto"/>
          <w:sz w:val="32"/>
          <w:szCs w:val="32"/>
          <w:highlight w:val="none"/>
          <w:u w:val="none"/>
        </w:rPr>
        <w:t>内，若国家有新规定的，从其规定。</w:t>
      </w:r>
      <w:bookmarkEnd w:id="407"/>
      <w:r>
        <w:rPr>
          <w:rFonts w:hint="eastAsia" w:ascii="仿宋_GB2312" w:hAnsi="仿宋_GB2312" w:eastAsia="仿宋_GB2312" w:cs="仿宋_GB2312"/>
          <w:color w:val="auto"/>
          <w:kern w:val="2"/>
          <w:sz w:val="32"/>
          <w:szCs w:val="32"/>
          <w:highlight w:val="none"/>
          <w:u w:val="none"/>
          <w:lang w:val="en-US" w:eastAsia="zh-CN" w:bidi="ar-SA"/>
        </w:rPr>
        <w:t>本采购文件未尽事宜，可由深圳交易中心召集相关利益方协商解决或者另行发布通知明确。</w:t>
      </w:r>
    </w:p>
    <w:p w14:paraId="34662CA8">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highlight w:val="none"/>
          <w:u w:val="none"/>
        </w:rPr>
      </w:pPr>
      <w:r>
        <w:rPr>
          <w:rFonts w:hint="eastAsia" w:ascii="仿宋_GB2312" w:hAnsi="仿宋_GB2312" w:eastAsia="仿宋_GB2312" w:cs="仿宋_GB2312"/>
          <w:color w:val="auto"/>
          <w:sz w:val="32"/>
          <w:szCs w:val="32"/>
          <w:highlight w:val="none"/>
          <w:u w:val="none"/>
          <w:lang w:val="en-US" w:eastAsia="zh-CN"/>
        </w:rPr>
        <w:t>6.本采购文件仅适用于本次</w:t>
      </w:r>
      <w:r>
        <w:rPr>
          <w:rFonts w:hint="eastAsia" w:ascii="仿宋_GB2312" w:hAnsi="仿宋_GB2312" w:eastAsia="仿宋_GB2312" w:cs="仿宋_GB2312"/>
          <w:color w:val="auto"/>
          <w:sz w:val="32"/>
          <w:szCs w:val="32"/>
          <w:highlight w:val="none"/>
          <w:u w:val="none"/>
          <w:lang w:eastAsia="zh-CN"/>
        </w:rPr>
        <w:t>密网支架带量联动采购</w:t>
      </w:r>
      <w:r>
        <w:rPr>
          <w:rFonts w:hint="eastAsia" w:ascii="仿宋_GB2312" w:hAnsi="仿宋_GB2312" w:eastAsia="仿宋_GB2312" w:cs="仿宋_GB2312"/>
          <w:color w:val="auto"/>
          <w:sz w:val="32"/>
          <w:szCs w:val="32"/>
          <w:highlight w:val="none"/>
          <w:u w:val="none"/>
          <w:lang w:val="en-US" w:eastAsia="zh-CN"/>
        </w:rPr>
        <w:t>所述项目的医用耗材及相关服务，最终解释权归深圳公共资源交易中心。</w:t>
      </w:r>
      <w:r>
        <w:rPr>
          <w:rFonts w:hint="eastAsia" w:ascii="仿宋_GB2312" w:hAnsi="仿宋_GB2312" w:eastAsia="仿宋_GB2312" w:cs="仿宋_GB2312"/>
          <w:color w:val="auto"/>
          <w:kern w:val="2"/>
          <w:highlight w:val="none"/>
          <w:u w:val="none"/>
        </w:rPr>
        <w:br w:type="page"/>
      </w:r>
    </w:p>
    <w:p w14:paraId="7787D893">
      <w:pPr>
        <w:pageBreakBefore w:val="0"/>
        <w:kinsoku/>
        <w:overflowPunct w:val="0"/>
        <w:topLinePunct w:val="0"/>
        <w:bidi w:val="0"/>
        <w:spacing w:line="580" w:lineRule="exact"/>
        <w:ind w:left="0"/>
        <w:jc w:val="center"/>
        <w:outlineLvl w:val="9"/>
        <w:rPr>
          <w:rFonts w:hint="eastAsia" w:ascii="方正小标宋简体" w:hAnsi="方正小标宋简体" w:eastAsia="方正小标宋简体" w:cs="方正小标宋简体"/>
          <w:color w:val="auto"/>
          <w:kern w:val="2"/>
          <w:sz w:val="44"/>
          <w:szCs w:val="44"/>
          <w:highlight w:val="none"/>
          <w:u w:val="none"/>
        </w:rPr>
      </w:pPr>
      <w:bookmarkStart w:id="452" w:name="_Toc27125"/>
      <w:bookmarkStart w:id="453" w:name="_Toc20057"/>
    </w:p>
    <w:p w14:paraId="5D71D268">
      <w:pPr>
        <w:pageBreakBefore w:val="0"/>
        <w:kinsoku/>
        <w:overflowPunct w:val="0"/>
        <w:topLinePunct w:val="0"/>
        <w:bidi w:val="0"/>
        <w:spacing w:line="580" w:lineRule="exact"/>
        <w:ind w:left="0"/>
        <w:jc w:val="center"/>
        <w:outlineLvl w:val="9"/>
        <w:rPr>
          <w:rFonts w:hint="eastAsia" w:ascii="方正小标宋简体" w:hAnsi="方正小标宋简体" w:eastAsia="方正小标宋简体" w:cs="方正小标宋简体"/>
          <w:color w:val="auto"/>
          <w:kern w:val="2"/>
          <w:sz w:val="44"/>
          <w:szCs w:val="44"/>
          <w:highlight w:val="none"/>
          <w:u w:val="none"/>
        </w:rPr>
      </w:pPr>
    </w:p>
    <w:p w14:paraId="03980FCF">
      <w:pPr>
        <w:pageBreakBefore w:val="0"/>
        <w:kinsoku/>
        <w:overflowPunct w:val="0"/>
        <w:topLinePunct w:val="0"/>
        <w:bidi w:val="0"/>
        <w:spacing w:line="580" w:lineRule="exact"/>
        <w:ind w:left="0"/>
        <w:jc w:val="center"/>
        <w:outlineLvl w:val="9"/>
        <w:rPr>
          <w:rFonts w:hint="eastAsia" w:ascii="方正小标宋简体" w:hAnsi="方正小标宋简体" w:eastAsia="方正小标宋简体" w:cs="方正小标宋简体"/>
          <w:color w:val="auto"/>
          <w:kern w:val="2"/>
          <w:sz w:val="44"/>
          <w:szCs w:val="44"/>
          <w:highlight w:val="none"/>
          <w:u w:val="none"/>
        </w:rPr>
      </w:pPr>
    </w:p>
    <w:p w14:paraId="22A935BE">
      <w:pPr>
        <w:pageBreakBefore w:val="0"/>
        <w:kinsoku/>
        <w:overflowPunct w:val="0"/>
        <w:topLinePunct w:val="0"/>
        <w:bidi w:val="0"/>
        <w:spacing w:line="580" w:lineRule="exact"/>
        <w:ind w:left="0"/>
        <w:jc w:val="center"/>
        <w:outlineLvl w:val="9"/>
        <w:rPr>
          <w:rFonts w:hint="eastAsia" w:ascii="方正小标宋简体" w:hAnsi="方正小标宋简体" w:eastAsia="方正小标宋简体" w:cs="方正小标宋简体"/>
          <w:color w:val="auto"/>
          <w:kern w:val="2"/>
          <w:sz w:val="44"/>
          <w:szCs w:val="44"/>
          <w:highlight w:val="none"/>
          <w:u w:val="none"/>
        </w:rPr>
      </w:pPr>
    </w:p>
    <w:p w14:paraId="4CEBBF36">
      <w:pPr>
        <w:pageBreakBefore w:val="0"/>
        <w:kinsoku/>
        <w:overflowPunct w:val="0"/>
        <w:topLinePunct w:val="0"/>
        <w:bidi w:val="0"/>
        <w:spacing w:line="580" w:lineRule="exact"/>
        <w:ind w:left="0"/>
        <w:jc w:val="center"/>
        <w:outlineLvl w:val="9"/>
        <w:rPr>
          <w:rFonts w:hint="eastAsia" w:ascii="方正小标宋简体" w:hAnsi="方正小标宋简体" w:eastAsia="方正小标宋简体" w:cs="方正小标宋简体"/>
          <w:color w:val="auto"/>
          <w:kern w:val="2"/>
          <w:sz w:val="44"/>
          <w:szCs w:val="44"/>
          <w:highlight w:val="none"/>
          <w:u w:val="none"/>
        </w:rPr>
      </w:pPr>
    </w:p>
    <w:p w14:paraId="14329C99">
      <w:pPr>
        <w:pageBreakBefore w:val="0"/>
        <w:kinsoku/>
        <w:overflowPunct w:val="0"/>
        <w:topLinePunct w:val="0"/>
        <w:bidi w:val="0"/>
        <w:spacing w:line="580" w:lineRule="exact"/>
        <w:ind w:left="0"/>
        <w:jc w:val="center"/>
        <w:outlineLvl w:val="9"/>
        <w:rPr>
          <w:rFonts w:hint="eastAsia" w:ascii="方正小标宋简体" w:hAnsi="方正小标宋简体" w:eastAsia="方正小标宋简体" w:cs="方正小标宋简体"/>
          <w:color w:val="auto"/>
          <w:kern w:val="2"/>
          <w:sz w:val="44"/>
          <w:szCs w:val="44"/>
          <w:highlight w:val="none"/>
          <w:u w:val="none"/>
        </w:rPr>
      </w:pPr>
    </w:p>
    <w:p w14:paraId="7ADD9766">
      <w:pPr>
        <w:pageBreakBefore w:val="0"/>
        <w:kinsoku/>
        <w:overflowPunct w:val="0"/>
        <w:topLinePunct w:val="0"/>
        <w:bidi w:val="0"/>
        <w:spacing w:line="580" w:lineRule="exact"/>
        <w:ind w:left="0"/>
        <w:jc w:val="center"/>
        <w:outlineLvl w:val="9"/>
        <w:rPr>
          <w:rFonts w:hint="eastAsia" w:ascii="方正小标宋简体" w:hAnsi="方正小标宋简体" w:eastAsia="方正小标宋简体" w:cs="方正小标宋简体"/>
          <w:color w:val="auto"/>
          <w:kern w:val="2"/>
          <w:sz w:val="44"/>
          <w:szCs w:val="44"/>
          <w:highlight w:val="none"/>
          <w:u w:val="none"/>
        </w:rPr>
      </w:pPr>
    </w:p>
    <w:p w14:paraId="33E42512">
      <w:pPr>
        <w:pageBreakBefore w:val="0"/>
        <w:kinsoku/>
        <w:overflowPunct w:val="0"/>
        <w:topLinePunct w:val="0"/>
        <w:bidi w:val="0"/>
        <w:spacing w:line="580" w:lineRule="exact"/>
        <w:ind w:left="0"/>
        <w:jc w:val="center"/>
        <w:outlineLvl w:val="9"/>
        <w:rPr>
          <w:rFonts w:hint="eastAsia" w:ascii="方正小标宋简体" w:hAnsi="方正小标宋简体" w:eastAsia="方正小标宋简体" w:cs="方正小标宋简体"/>
          <w:color w:val="auto"/>
          <w:kern w:val="2"/>
          <w:sz w:val="44"/>
          <w:szCs w:val="44"/>
          <w:highlight w:val="none"/>
          <w:u w:val="none"/>
        </w:rPr>
      </w:pPr>
    </w:p>
    <w:p w14:paraId="41B1C01F">
      <w:pPr>
        <w:pageBreakBefore w:val="0"/>
        <w:kinsoku/>
        <w:overflowPunct w:val="0"/>
        <w:topLinePunct w:val="0"/>
        <w:bidi w:val="0"/>
        <w:spacing w:line="580" w:lineRule="exact"/>
        <w:ind w:left="0"/>
        <w:jc w:val="center"/>
        <w:outlineLvl w:val="9"/>
        <w:rPr>
          <w:rFonts w:hint="eastAsia" w:ascii="方正小标宋简体" w:hAnsi="方正小标宋简体" w:eastAsia="方正小标宋简体" w:cs="方正小标宋简体"/>
          <w:color w:val="auto"/>
          <w:kern w:val="2"/>
          <w:sz w:val="44"/>
          <w:szCs w:val="44"/>
          <w:highlight w:val="none"/>
          <w:u w:val="none"/>
        </w:rPr>
      </w:pPr>
    </w:p>
    <w:p w14:paraId="6B09AEC9">
      <w:pPr>
        <w:pageBreakBefore w:val="0"/>
        <w:kinsoku/>
        <w:overflowPunct w:val="0"/>
        <w:topLinePunct w:val="0"/>
        <w:bidi w:val="0"/>
        <w:spacing w:line="580" w:lineRule="exact"/>
        <w:ind w:left="0"/>
        <w:jc w:val="center"/>
        <w:outlineLvl w:val="0"/>
        <w:rPr>
          <w:rFonts w:hint="eastAsia" w:ascii="方正小标宋简体" w:hAnsi="方正小标宋简体" w:eastAsia="方正小标宋简体" w:cs="方正小标宋简体"/>
          <w:color w:val="auto"/>
          <w:kern w:val="2"/>
          <w:sz w:val="44"/>
          <w:szCs w:val="44"/>
          <w:highlight w:val="none"/>
          <w:u w:val="none"/>
        </w:rPr>
      </w:pPr>
      <w:bookmarkStart w:id="454" w:name="_Toc2456"/>
      <w:bookmarkStart w:id="455" w:name="_Toc31711"/>
      <w:bookmarkStart w:id="456" w:name="_Toc11980"/>
      <w:bookmarkStart w:id="457" w:name="_Toc17114"/>
      <w:bookmarkStart w:id="458" w:name="_Toc2365"/>
      <w:bookmarkStart w:id="459" w:name="_Toc31140"/>
      <w:bookmarkStart w:id="460" w:name="_Toc15445"/>
      <w:r>
        <w:rPr>
          <w:rFonts w:hint="eastAsia" w:ascii="方正小标宋简体" w:hAnsi="方正小标宋简体" w:eastAsia="方正小标宋简体" w:cs="方正小标宋简体"/>
          <w:color w:val="auto"/>
          <w:kern w:val="2"/>
          <w:sz w:val="44"/>
          <w:szCs w:val="44"/>
          <w:highlight w:val="none"/>
          <w:u w:val="none"/>
        </w:rPr>
        <w:t>第三部分 附件</w:t>
      </w:r>
      <w:bookmarkEnd w:id="452"/>
      <w:bookmarkEnd w:id="453"/>
      <w:bookmarkEnd w:id="454"/>
      <w:bookmarkEnd w:id="455"/>
      <w:bookmarkEnd w:id="456"/>
      <w:bookmarkEnd w:id="457"/>
      <w:bookmarkEnd w:id="458"/>
      <w:bookmarkEnd w:id="459"/>
      <w:bookmarkEnd w:id="460"/>
    </w:p>
    <w:p w14:paraId="49015F90">
      <w:pPr>
        <w:pageBreakBefore w:val="0"/>
        <w:kinsoku/>
        <w:topLinePunct w:val="0"/>
        <w:bidi w:val="0"/>
        <w:spacing w:line="580" w:lineRule="exact"/>
        <w:ind w:left="0"/>
        <w:jc w:val="both"/>
        <w:outlineLvl w:val="9"/>
        <w:rPr>
          <w:rFonts w:hint="eastAsia" w:ascii="黑体" w:hAnsi="黑体" w:eastAsia="黑体" w:cs="黑体"/>
          <w:color w:val="auto"/>
          <w:kern w:val="2"/>
          <w:sz w:val="32"/>
          <w:szCs w:val="32"/>
          <w:highlight w:val="none"/>
          <w:u w:val="none"/>
        </w:rPr>
      </w:pPr>
      <w:bookmarkStart w:id="461" w:name="_Toc16337"/>
      <w:bookmarkStart w:id="462" w:name="_Toc21222"/>
      <w:bookmarkStart w:id="463" w:name="_Toc66806191"/>
    </w:p>
    <w:p w14:paraId="2464637C">
      <w:pPr>
        <w:rPr>
          <w:rFonts w:hint="eastAsia" w:ascii="黑体" w:hAnsi="黑体" w:eastAsia="黑体" w:cs="黑体"/>
          <w:color w:val="auto"/>
          <w:kern w:val="2"/>
          <w:sz w:val="32"/>
          <w:szCs w:val="32"/>
          <w:highlight w:val="none"/>
          <w:u w:val="none"/>
        </w:rPr>
      </w:pPr>
      <w:r>
        <w:rPr>
          <w:rFonts w:hint="eastAsia" w:ascii="黑体" w:hAnsi="黑体" w:eastAsia="黑体" w:cs="黑体"/>
          <w:color w:val="auto"/>
          <w:kern w:val="2"/>
          <w:sz w:val="32"/>
          <w:szCs w:val="32"/>
          <w:highlight w:val="none"/>
          <w:u w:val="none"/>
        </w:rPr>
        <w:br w:type="page"/>
      </w:r>
    </w:p>
    <w:p w14:paraId="150A5860">
      <w:pPr>
        <w:keepNext w:val="0"/>
        <w:keepLines w:val="0"/>
        <w:pageBreakBefore w:val="0"/>
        <w:widowControl w:val="0"/>
        <w:kinsoku/>
        <w:wordWrap/>
        <w:topLinePunct w:val="0"/>
        <w:autoSpaceDE/>
        <w:autoSpaceDN/>
        <w:bidi w:val="0"/>
        <w:adjustRightInd/>
        <w:snapToGrid/>
        <w:spacing w:line="600" w:lineRule="exact"/>
        <w:ind w:left="0"/>
        <w:jc w:val="both"/>
        <w:textAlignment w:val="auto"/>
        <w:outlineLvl w:val="1"/>
        <w:rPr>
          <w:rFonts w:hint="eastAsia" w:ascii="黑体" w:hAnsi="黑体" w:eastAsia="黑体" w:cs="黑体"/>
          <w:color w:val="auto"/>
          <w:kern w:val="2"/>
          <w:sz w:val="32"/>
          <w:szCs w:val="32"/>
          <w:highlight w:val="none"/>
          <w:u w:val="none"/>
        </w:rPr>
      </w:pPr>
      <w:bookmarkStart w:id="464" w:name="_Toc24635"/>
      <w:bookmarkStart w:id="465" w:name="_Toc26575"/>
      <w:bookmarkStart w:id="466" w:name="_Toc10053"/>
      <w:bookmarkStart w:id="467" w:name="_Toc29483"/>
      <w:bookmarkStart w:id="468" w:name="_Toc26116"/>
      <w:bookmarkStart w:id="469" w:name="_Toc2077"/>
      <w:bookmarkStart w:id="470" w:name="_Toc2262"/>
      <w:r>
        <w:rPr>
          <w:rFonts w:hint="eastAsia" w:ascii="黑体" w:hAnsi="黑体" w:eastAsia="黑体" w:cs="黑体"/>
          <w:color w:val="auto"/>
          <w:kern w:val="2"/>
          <w:sz w:val="32"/>
          <w:szCs w:val="32"/>
          <w:highlight w:val="none"/>
          <w:u w:val="none"/>
        </w:rPr>
        <w:t>附件1</w:t>
      </w:r>
      <w:bookmarkEnd w:id="464"/>
    </w:p>
    <w:p w14:paraId="5AC06B96">
      <w:pPr>
        <w:keepNext w:val="0"/>
        <w:keepLines w:val="0"/>
        <w:widowControl w:val="0"/>
        <w:suppressLineNumbers w:val="0"/>
        <w:autoSpaceDE w:val="0"/>
        <w:autoSpaceDN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sz w:val="36"/>
          <w:szCs w:val="36"/>
          <w:highlight w:val="none"/>
          <w:lang w:eastAsia="zh-CN"/>
        </w:rPr>
      </w:pPr>
      <w:r>
        <w:rPr>
          <w:rFonts w:hint="eastAsia" w:ascii="方正小标宋简体" w:hAnsi="方正小标宋简体" w:eastAsia="方正小标宋简体" w:cs="方正小标宋简体"/>
          <w:color w:val="auto"/>
          <w:kern w:val="0"/>
          <w:sz w:val="36"/>
          <w:szCs w:val="36"/>
          <w:highlight w:val="none"/>
          <w:lang w:val="en-US" w:eastAsia="zh-CN" w:bidi="ar"/>
        </w:rPr>
        <w:t>医疗机构医用耗材集中采购委托与填报承诺书</w:t>
      </w:r>
    </w:p>
    <w:p w14:paraId="14341643">
      <w:pPr>
        <w:pStyle w:val="18"/>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（广东省血流导向密网支架类医用耗材带量联动采购）</w:t>
      </w:r>
    </w:p>
    <w:p w14:paraId="4051A5B6">
      <w:pPr>
        <w:keepNext w:val="0"/>
        <w:keepLines w:val="0"/>
        <w:pageBreakBefore w:val="0"/>
        <w:widowControl w:val="0"/>
        <w:suppressLineNumbers w:val="0"/>
        <w:wordWrap/>
        <w:topLinePunct w:val="0"/>
        <w:autoSpaceDE w:val="0"/>
        <w:autoSpaceDN w:val="0"/>
        <w:bidi w:val="0"/>
        <w:adjustRightInd/>
        <w:snapToGrid/>
        <w:spacing w:before="0" w:beforeAutospacing="0" w:after="0" w:afterAutospacing="0" w:line="560" w:lineRule="exact"/>
        <w:ind w:left="0" w:right="0"/>
        <w:jc w:val="both"/>
        <w:textAlignment w:val="auto"/>
        <w:rPr>
          <w:rFonts w:hint="eastAsia" w:ascii="仿宋_GB2312" w:eastAsia="仿宋_GB2312" w:cs="仿宋_GB2312"/>
          <w:color w:val="auto"/>
          <w:sz w:val="30"/>
          <w:szCs w:val="30"/>
          <w:highlight w:val="none"/>
          <w:lang w:eastAsia="zh-CN"/>
        </w:rPr>
      </w:pPr>
    </w:p>
    <w:p w14:paraId="5EA15ABA">
      <w:pPr>
        <w:keepNext w:val="0"/>
        <w:keepLines w:val="0"/>
        <w:pageBreakBefore w:val="0"/>
        <w:widowControl w:val="0"/>
        <w:suppressLineNumbers w:val="0"/>
        <w:wordWrap/>
        <w:topLinePunct w:val="0"/>
        <w:autoSpaceDE w:val="0"/>
        <w:autoSpaceDN w:val="0"/>
        <w:bidi w:val="0"/>
        <w:adjustRightInd/>
        <w:snapToGrid/>
        <w:spacing w:before="0" w:beforeAutospacing="0" w:after="0" w:afterAutospacing="0" w:line="560" w:lineRule="exact"/>
        <w:ind w:left="0" w:right="0"/>
        <w:jc w:val="both"/>
        <w:textAlignment w:val="auto"/>
        <w:rPr>
          <w:rFonts w:hint="eastAsia" w:ascii="仿宋_GB2312" w:eastAsia="仿宋_GB2312" w:cs="仿宋_GB2312"/>
          <w:color w:val="auto"/>
          <w:sz w:val="30"/>
          <w:szCs w:val="30"/>
          <w:highlight w:val="none"/>
          <w:lang w:eastAsia="zh-CN"/>
        </w:rPr>
      </w:pPr>
      <w:r>
        <w:rPr>
          <w:rFonts w:hint="eastAsia" w:ascii="仿宋_GB2312" w:hAnsi="仿宋" w:eastAsia="仿宋_GB2312" w:cs="仿宋_GB2312"/>
          <w:color w:val="auto"/>
          <w:kern w:val="0"/>
          <w:sz w:val="30"/>
          <w:szCs w:val="30"/>
          <w:highlight w:val="none"/>
          <w:lang w:val="en-US" w:eastAsia="zh-CN" w:bidi="ar"/>
        </w:rPr>
        <w:t xml:space="preserve">深圳公共资源交易中心： </w:t>
      </w:r>
    </w:p>
    <w:p w14:paraId="417FE712">
      <w:pPr>
        <w:keepNext w:val="0"/>
        <w:keepLines w:val="0"/>
        <w:pageBreakBefore w:val="0"/>
        <w:widowControl w:val="0"/>
        <w:suppressLineNumbers w:val="0"/>
        <w:wordWrap/>
        <w:topLinePunct w:val="0"/>
        <w:autoSpaceDE w:val="0"/>
        <w:autoSpaceDN w:val="0"/>
        <w:bidi w:val="0"/>
        <w:adjustRightInd/>
        <w:snapToGrid/>
        <w:spacing w:before="0" w:beforeAutospacing="0" w:after="0" w:afterAutospacing="0" w:line="560" w:lineRule="exact"/>
        <w:ind w:left="0" w:right="0" w:firstLine="600" w:firstLineChars="200"/>
        <w:jc w:val="both"/>
        <w:textAlignment w:val="auto"/>
        <w:rPr>
          <w:rFonts w:hint="eastAsia" w:ascii="仿宋_GB2312" w:eastAsia="仿宋_GB2312" w:cs="仿宋_GB2312"/>
          <w:color w:val="auto"/>
          <w:sz w:val="30"/>
          <w:szCs w:val="30"/>
          <w:highlight w:val="none"/>
          <w:lang w:eastAsia="zh-CN"/>
        </w:rPr>
      </w:pPr>
      <w:r>
        <w:rPr>
          <w:rFonts w:hint="eastAsia" w:ascii="仿宋_GB2312" w:hAnsi="仿宋" w:eastAsia="仿宋_GB2312" w:cs="仿宋_GB2312"/>
          <w:color w:val="auto"/>
          <w:kern w:val="0"/>
          <w:sz w:val="30"/>
          <w:szCs w:val="30"/>
          <w:highlight w:val="none"/>
          <w:u w:val="single"/>
          <w:lang w:val="en-US" w:eastAsia="zh-CN" w:bidi="ar"/>
        </w:rPr>
        <w:t xml:space="preserve">                     </w:t>
      </w:r>
      <w:r>
        <w:rPr>
          <w:rFonts w:hint="eastAsia" w:ascii="仿宋_GB2312" w:hAnsi="仿宋" w:eastAsia="仿宋_GB2312" w:cs="仿宋_GB2312"/>
          <w:color w:val="auto"/>
          <w:kern w:val="0"/>
          <w:sz w:val="30"/>
          <w:szCs w:val="30"/>
          <w:highlight w:val="none"/>
          <w:lang w:val="en-US" w:eastAsia="zh-CN" w:bidi="ar"/>
        </w:rPr>
        <w:t xml:space="preserve">（医疗机构名称）自愿参与由贵中心承办的广东省血流导向密网支架类医用耗材带量联动采购（以下简称密网支架带量联动采购）项目，并委托贵中心承办本次密网支架带量联动采购项目中的相关事务，承诺如下： </w:t>
      </w:r>
    </w:p>
    <w:p w14:paraId="75E640E2">
      <w:pPr>
        <w:keepNext w:val="0"/>
        <w:keepLines w:val="0"/>
        <w:pageBreakBefore w:val="0"/>
        <w:widowControl w:val="0"/>
        <w:suppressLineNumbers w:val="0"/>
        <w:wordWrap/>
        <w:topLinePunct w:val="0"/>
        <w:autoSpaceDE w:val="0"/>
        <w:autoSpaceDN w:val="0"/>
        <w:bidi w:val="0"/>
        <w:adjustRightInd/>
        <w:snapToGrid/>
        <w:spacing w:before="0" w:beforeAutospacing="0" w:after="0" w:afterAutospacing="0" w:line="560" w:lineRule="exact"/>
        <w:ind w:left="0" w:right="0" w:firstLine="600" w:firstLineChars="200"/>
        <w:jc w:val="both"/>
        <w:textAlignment w:val="auto"/>
        <w:rPr>
          <w:rFonts w:hint="eastAsia" w:ascii="仿宋_GB2312" w:eastAsia="仿宋_GB2312" w:cs="仿宋_GB2312"/>
          <w:color w:val="auto"/>
          <w:sz w:val="30"/>
          <w:szCs w:val="30"/>
          <w:highlight w:val="none"/>
          <w:lang w:eastAsia="zh-CN"/>
        </w:rPr>
      </w:pPr>
      <w:r>
        <w:rPr>
          <w:rFonts w:hint="eastAsia" w:ascii="仿宋_GB2312" w:hAnsi="仿宋" w:eastAsia="仿宋_GB2312" w:cs="仿宋_GB2312"/>
          <w:color w:val="auto"/>
          <w:kern w:val="0"/>
          <w:sz w:val="30"/>
          <w:szCs w:val="30"/>
          <w:highlight w:val="none"/>
          <w:lang w:val="en-US" w:eastAsia="zh-CN" w:bidi="ar"/>
        </w:rPr>
        <w:t>一、严格遵循本次密网支架带量联动采购文件上的采购要求和说明，确保配合该项目在采购周期内顺利执行。</w:t>
      </w:r>
    </w:p>
    <w:p w14:paraId="2E4CA41D">
      <w:pPr>
        <w:keepNext w:val="0"/>
        <w:keepLines w:val="0"/>
        <w:pageBreakBefore w:val="0"/>
        <w:widowControl w:val="0"/>
        <w:suppressLineNumbers w:val="0"/>
        <w:wordWrap/>
        <w:topLinePunct w:val="0"/>
        <w:autoSpaceDE w:val="0"/>
        <w:autoSpaceDN w:val="0"/>
        <w:bidi w:val="0"/>
        <w:adjustRightInd/>
        <w:snapToGrid/>
        <w:spacing w:before="0" w:beforeAutospacing="0" w:after="0" w:afterAutospacing="0" w:line="560" w:lineRule="exact"/>
        <w:ind w:left="0" w:right="0" w:firstLine="600" w:firstLineChars="200"/>
        <w:jc w:val="both"/>
        <w:textAlignment w:val="auto"/>
        <w:rPr>
          <w:rFonts w:hint="eastAsia" w:ascii="仿宋_GB2312" w:eastAsia="仿宋_GB2312" w:cs="仿宋_GB2312"/>
          <w:color w:val="auto"/>
          <w:sz w:val="30"/>
          <w:szCs w:val="30"/>
          <w:highlight w:val="none"/>
          <w:lang w:eastAsia="zh-CN"/>
        </w:rPr>
      </w:pPr>
      <w:r>
        <w:rPr>
          <w:rFonts w:hint="eastAsia" w:ascii="仿宋_GB2312" w:hAnsi="仿宋" w:eastAsia="仿宋_GB2312" w:cs="仿宋_GB2312"/>
          <w:color w:val="auto"/>
          <w:kern w:val="0"/>
          <w:sz w:val="30"/>
          <w:szCs w:val="30"/>
          <w:highlight w:val="none"/>
          <w:lang w:val="en-US" w:eastAsia="zh-CN" w:bidi="ar"/>
        </w:rPr>
        <w:t>二、根据密网支架带量联动采购文件要求，在规定时间内填报本单位相关医用耗材的首年协议采购量，并确保填报的数据真实、准确。</w:t>
      </w:r>
    </w:p>
    <w:p w14:paraId="3EE43C7D">
      <w:pPr>
        <w:keepNext w:val="0"/>
        <w:keepLines w:val="0"/>
        <w:pageBreakBefore w:val="0"/>
        <w:widowControl w:val="0"/>
        <w:suppressLineNumbers w:val="0"/>
        <w:wordWrap/>
        <w:topLinePunct w:val="0"/>
        <w:autoSpaceDE w:val="0"/>
        <w:autoSpaceDN w:val="0"/>
        <w:bidi w:val="0"/>
        <w:adjustRightInd/>
        <w:snapToGrid/>
        <w:spacing w:before="0" w:beforeAutospacing="0" w:after="0" w:afterAutospacing="0" w:line="560" w:lineRule="exact"/>
        <w:ind w:left="0" w:right="0" w:firstLine="600" w:firstLineChars="200"/>
        <w:jc w:val="both"/>
        <w:textAlignment w:val="auto"/>
        <w:rPr>
          <w:rFonts w:hint="eastAsia" w:ascii="仿宋_GB2312" w:eastAsia="仿宋_GB2312" w:cs="仿宋_GB2312"/>
          <w:color w:val="auto"/>
          <w:sz w:val="30"/>
          <w:szCs w:val="30"/>
          <w:highlight w:val="none"/>
          <w:lang w:eastAsia="zh-CN"/>
        </w:rPr>
      </w:pPr>
      <w:r>
        <w:rPr>
          <w:rFonts w:hint="eastAsia" w:ascii="仿宋_GB2312" w:hAnsi="仿宋" w:eastAsia="仿宋_GB2312" w:cs="仿宋_GB2312"/>
          <w:color w:val="auto"/>
          <w:kern w:val="0"/>
          <w:sz w:val="30"/>
          <w:szCs w:val="30"/>
          <w:highlight w:val="none"/>
          <w:lang w:val="en-US" w:eastAsia="zh-CN" w:bidi="ar"/>
        </w:rPr>
        <w:t>三、根据密网支架带量联动采购文件要求，通过省内相关采购平台签订采购协议、执行线上采购程序、使用中选产品产品，并在协议期内完成本院协议采购量等。</w:t>
      </w:r>
    </w:p>
    <w:p w14:paraId="5D1FCDCB">
      <w:pPr>
        <w:keepNext w:val="0"/>
        <w:keepLines w:val="0"/>
        <w:pageBreakBefore w:val="0"/>
        <w:widowControl w:val="0"/>
        <w:suppressLineNumbers w:val="0"/>
        <w:wordWrap/>
        <w:topLinePunct w:val="0"/>
        <w:autoSpaceDE w:val="0"/>
        <w:autoSpaceDN w:val="0"/>
        <w:bidi w:val="0"/>
        <w:adjustRightInd/>
        <w:snapToGrid/>
        <w:spacing w:before="0" w:beforeAutospacing="0" w:after="0" w:afterAutospacing="0" w:line="560" w:lineRule="exact"/>
        <w:ind w:left="0" w:right="0" w:firstLine="600" w:firstLineChars="200"/>
        <w:jc w:val="both"/>
        <w:textAlignment w:val="auto"/>
        <w:rPr>
          <w:rFonts w:hint="eastAsia" w:ascii="仿宋_GB2312" w:eastAsia="仿宋_GB2312" w:cs="仿宋_GB2312"/>
          <w:color w:val="auto"/>
          <w:sz w:val="30"/>
          <w:szCs w:val="30"/>
          <w:highlight w:val="none"/>
          <w:lang w:eastAsia="zh-CN"/>
        </w:rPr>
      </w:pPr>
      <w:r>
        <w:rPr>
          <w:rFonts w:hint="eastAsia" w:ascii="仿宋_GB2312" w:hAnsi="仿宋" w:eastAsia="仿宋_GB2312" w:cs="仿宋_GB2312"/>
          <w:color w:val="auto"/>
          <w:kern w:val="0"/>
          <w:sz w:val="30"/>
          <w:szCs w:val="30"/>
          <w:highlight w:val="none"/>
          <w:lang w:val="en-US" w:eastAsia="zh-CN" w:bidi="ar"/>
        </w:rPr>
        <w:t>四、本单位将严格遵守上述承诺，愿意承担相应的责任。</w:t>
      </w:r>
    </w:p>
    <w:p w14:paraId="4FDC1369">
      <w:pPr>
        <w:keepNext w:val="0"/>
        <w:keepLines w:val="0"/>
        <w:pageBreakBefore w:val="0"/>
        <w:widowControl w:val="0"/>
        <w:suppressLineNumbers w:val="0"/>
        <w:wordWrap/>
        <w:topLinePunct w:val="0"/>
        <w:autoSpaceDE w:val="0"/>
        <w:autoSpaceDN w:val="0"/>
        <w:bidi w:val="0"/>
        <w:adjustRightInd/>
        <w:snapToGrid/>
        <w:spacing w:before="0" w:beforeAutospacing="0" w:after="0" w:afterAutospacing="0" w:line="560" w:lineRule="exact"/>
        <w:ind w:left="0" w:right="0" w:firstLine="600" w:firstLineChars="200"/>
        <w:jc w:val="both"/>
        <w:textAlignment w:val="auto"/>
        <w:rPr>
          <w:rFonts w:hint="eastAsia" w:ascii="仿宋_GB2312" w:eastAsia="仿宋_GB2312" w:cs="仿宋_GB2312"/>
          <w:color w:val="auto"/>
          <w:sz w:val="30"/>
          <w:szCs w:val="30"/>
          <w:highlight w:val="none"/>
          <w:lang w:eastAsia="zh-CN"/>
        </w:rPr>
      </w:pPr>
      <w:r>
        <w:rPr>
          <w:rFonts w:hint="eastAsia" w:ascii="仿宋_GB2312" w:hAnsi="仿宋" w:eastAsia="仿宋_GB2312" w:cs="仿宋_GB2312"/>
          <w:color w:val="auto"/>
          <w:kern w:val="0"/>
          <w:sz w:val="30"/>
          <w:szCs w:val="30"/>
          <w:highlight w:val="none"/>
          <w:lang w:val="en-US" w:eastAsia="zh-CN" w:bidi="ar"/>
        </w:rPr>
        <w:t>特此承诺。</w:t>
      </w:r>
    </w:p>
    <w:p w14:paraId="5D253BDB">
      <w:pPr>
        <w:pStyle w:val="13"/>
        <w:keepNext w:val="0"/>
        <w:keepLines w:val="0"/>
        <w:pageBreakBefore w:val="0"/>
        <w:widowControl w:val="0"/>
        <w:suppressLineNumbers w:val="0"/>
        <w:tabs>
          <w:tab w:val="left" w:pos="6937"/>
        </w:tabs>
        <w:kinsoku w:val="0"/>
        <w:wordWrap/>
        <w:overflowPunct w:val="0"/>
        <w:topLinePunct w:val="0"/>
        <w:autoSpaceDE w:val="0"/>
        <w:autoSpaceDN w:val="0"/>
        <w:bidi w:val="0"/>
        <w:adjustRightInd/>
        <w:snapToGrid/>
        <w:spacing w:before="1" w:beforeAutospacing="0" w:after="0" w:afterAutospacing="0" w:line="560" w:lineRule="exact"/>
        <w:ind w:left="232" w:right="860"/>
        <w:jc w:val="right"/>
        <w:textAlignment w:val="auto"/>
        <w:rPr>
          <w:rFonts w:hint="eastAsia" w:ascii="仿宋_GB2312" w:eastAsia="仿宋_GB2312" w:cs="仿宋_GB2312"/>
          <w:color w:val="auto"/>
          <w:highlight w:val="none"/>
          <w:lang w:eastAsia="zh-CN"/>
        </w:rPr>
      </w:pPr>
      <w:r>
        <w:rPr>
          <w:rFonts w:hint="eastAsia" w:ascii="仿宋_GB2312" w:hAnsi="仿宋" w:eastAsia="仿宋_GB2312" w:cs="仿宋_GB2312"/>
          <w:color w:val="auto"/>
          <w:kern w:val="0"/>
          <w:sz w:val="30"/>
          <w:szCs w:val="30"/>
          <w:highlight w:val="none"/>
          <w:lang w:val="en-US" w:eastAsia="zh-CN" w:bidi="ar"/>
        </w:rPr>
        <w:t xml:space="preserve">党组织书记/院长(签字):      </w:t>
      </w:r>
    </w:p>
    <w:p w14:paraId="1D33DAA8">
      <w:pPr>
        <w:pStyle w:val="13"/>
        <w:keepNext w:val="0"/>
        <w:keepLines w:val="0"/>
        <w:pageBreakBefore w:val="0"/>
        <w:widowControl w:val="0"/>
        <w:suppressLineNumbers w:val="0"/>
        <w:tabs>
          <w:tab w:val="left" w:pos="6937"/>
        </w:tabs>
        <w:kinsoku w:val="0"/>
        <w:wordWrap/>
        <w:overflowPunct w:val="0"/>
        <w:topLinePunct w:val="0"/>
        <w:autoSpaceDE w:val="0"/>
        <w:autoSpaceDN w:val="0"/>
        <w:bidi w:val="0"/>
        <w:adjustRightInd/>
        <w:snapToGrid/>
        <w:spacing w:before="1" w:beforeAutospacing="0" w:after="0" w:afterAutospacing="0" w:line="560" w:lineRule="exact"/>
        <w:ind w:left="232" w:right="688"/>
        <w:jc w:val="right"/>
        <w:textAlignment w:val="auto"/>
        <w:rPr>
          <w:rFonts w:hint="eastAsia" w:ascii="仿宋_GB2312" w:eastAsia="仿宋_GB2312" w:cs="仿宋_GB2312"/>
          <w:color w:val="auto"/>
          <w:highlight w:val="none"/>
          <w:lang w:eastAsia="zh-CN"/>
        </w:rPr>
      </w:pPr>
    </w:p>
    <w:p w14:paraId="354540B2">
      <w:pPr>
        <w:pStyle w:val="13"/>
        <w:keepNext w:val="0"/>
        <w:keepLines w:val="0"/>
        <w:pageBreakBefore w:val="0"/>
        <w:widowControl w:val="0"/>
        <w:suppressLineNumbers w:val="0"/>
        <w:tabs>
          <w:tab w:val="left" w:pos="6937"/>
        </w:tabs>
        <w:kinsoku w:val="0"/>
        <w:wordWrap/>
        <w:overflowPunct w:val="0"/>
        <w:topLinePunct w:val="0"/>
        <w:autoSpaceDE w:val="0"/>
        <w:autoSpaceDN w:val="0"/>
        <w:bidi w:val="0"/>
        <w:adjustRightInd/>
        <w:snapToGrid/>
        <w:spacing w:before="1" w:beforeAutospacing="0" w:after="0" w:afterAutospacing="0" w:line="560" w:lineRule="exact"/>
        <w:ind w:left="232" w:right="838"/>
        <w:jc w:val="right"/>
        <w:textAlignment w:val="auto"/>
        <w:rPr>
          <w:color w:val="auto"/>
          <w:highlight w:val="none"/>
          <w:lang w:eastAsia="zh-CN"/>
        </w:rPr>
      </w:pPr>
      <w:r>
        <w:rPr>
          <w:rFonts w:hint="eastAsia" w:ascii="仿宋_GB2312" w:hAnsi="仿宋" w:eastAsia="仿宋_GB2312" w:cs="仿宋_GB2312"/>
          <w:color w:val="auto"/>
          <w:kern w:val="0"/>
          <w:sz w:val="30"/>
          <w:szCs w:val="30"/>
          <w:highlight w:val="none"/>
          <w:lang w:val="en-US" w:eastAsia="zh-CN" w:bidi="ar"/>
        </w:rPr>
        <w:t xml:space="preserve">      医疗机构（盖章）：      </w:t>
      </w:r>
      <w:r>
        <w:rPr>
          <w:rFonts w:hint="eastAsia" w:ascii="仿宋" w:hAnsi="仿宋" w:eastAsia="仿宋" w:cs="仿宋"/>
          <w:color w:val="auto"/>
          <w:kern w:val="0"/>
          <w:sz w:val="30"/>
          <w:szCs w:val="30"/>
          <w:highlight w:val="none"/>
          <w:lang w:val="en-US" w:eastAsia="zh-CN" w:bidi="ar"/>
        </w:rPr>
        <w:t xml:space="preserve">               </w:t>
      </w:r>
    </w:p>
    <w:p w14:paraId="03E7B846">
      <w:pPr>
        <w:pStyle w:val="13"/>
        <w:keepNext w:val="0"/>
        <w:keepLines w:val="0"/>
        <w:pageBreakBefore w:val="0"/>
        <w:widowControl w:val="0"/>
        <w:suppressLineNumbers w:val="0"/>
        <w:tabs>
          <w:tab w:val="left" w:pos="6937"/>
        </w:tabs>
        <w:kinsoku w:val="0"/>
        <w:wordWrap/>
        <w:overflowPunct w:val="0"/>
        <w:topLinePunct w:val="0"/>
        <w:autoSpaceDE w:val="0"/>
        <w:autoSpaceDN w:val="0"/>
        <w:bidi w:val="0"/>
        <w:adjustRightInd/>
        <w:snapToGrid/>
        <w:spacing w:before="1" w:beforeAutospacing="0" w:after="0" w:afterAutospacing="0" w:line="560" w:lineRule="exact"/>
        <w:ind w:left="231" w:right="0"/>
        <w:jc w:val="right"/>
        <w:textAlignment w:val="auto"/>
        <w:rPr>
          <w:rFonts w:hint="eastAsia" w:ascii="仿宋_GB2312" w:eastAsia="仿宋_GB2312" w:cs="仿宋_GB2312"/>
          <w:color w:val="auto"/>
          <w:spacing w:val="30"/>
          <w:w w:val="95"/>
          <w:highlight w:val="none"/>
          <w:lang w:eastAsia="zh-CN"/>
        </w:rPr>
      </w:pPr>
    </w:p>
    <w:p w14:paraId="4CD2A597">
      <w:pPr>
        <w:pStyle w:val="13"/>
        <w:keepNext w:val="0"/>
        <w:keepLines w:val="0"/>
        <w:pageBreakBefore w:val="0"/>
        <w:widowControl w:val="0"/>
        <w:suppressLineNumbers w:val="0"/>
        <w:tabs>
          <w:tab w:val="left" w:pos="6937"/>
        </w:tabs>
        <w:kinsoku w:val="0"/>
        <w:wordWrap/>
        <w:overflowPunct w:val="0"/>
        <w:topLinePunct w:val="0"/>
        <w:autoSpaceDE w:val="0"/>
        <w:autoSpaceDN w:val="0"/>
        <w:bidi w:val="0"/>
        <w:adjustRightInd/>
        <w:snapToGrid/>
        <w:spacing w:before="1" w:beforeAutospacing="0" w:after="0" w:afterAutospacing="0" w:line="560" w:lineRule="exact"/>
        <w:ind w:left="231" w:right="860"/>
        <w:jc w:val="center"/>
        <w:textAlignment w:val="auto"/>
        <w:rPr>
          <w:rFonts w:hint="eastAsia" w:ascii="黑体" w:hAnsi="黑体" w:eastAsia="黑体" w:cs="黑体"/>
          <w:color w:val="auto"/>
          <w:kern w:val="2"/>
          <w:sz w:val="32"/>
          <w:szCs w:val="32"/>
          <w:highlight w:val="none"/>
          <w:u w:val="none"/>
        </w:rPr>
      </w:pPr>
      <w:r>
        <w:rPr>
          <w:rFonts w:hint="eastAsia" w:ascii="仿宋_GB2312" w:hAnsi="仿宋" w:eastAsia="仿宋_GB2312" w:cs="仿宋_GB2312"/>
          <w:color w:val="auto"/>
          <w:spacing w:val="30"/>
          <w:w w:val="95"/>
          <w:kern w:val="0"/>
          <w:sz w:val="30"/>
          <w:szCs w:val="30"/>
          <w:highlight w:val="none"/>
          <w:lang w:val="en-US" w:eastAsia="zh-CN" w:bidi="ar"/>
        </w:rPr>
        <w:t xml:space="preserve">                       年    月    日</w:t>
      </w:r>
    </w:p>
    <w:p w14:paraId="58F294B5">
      <w:pPr>
        <w:keepNext w:val="0"/>
        <w:keepLines w:val="0"/>
        <w:pageBreakBefore w:val="0"/>
        <w:widowControl w:val="0"/>
        <w:kinsoku/>
        <w:wordWrap/>
        <w:topLinePunct w:val="0"/>
        <w:autoSpaceDE/>
        <w:autoSpaceDN/>
        <w:bidi w:val="0"/>
        <w:adjustRightInd/>
        <w:snapToGrid/>
        <w:spacing w:line="600" w:lineRule="exact"/>
        <w:ind w:left="0"/>
        <w:jc w:val="both"/>
        <w:textAlignment w:val="auto"/>
        <w:outlineLvl w:val="1"/>
        <w:rPr>
          <w:rFonts w:hint="eastAsia" w:ascii="黑体" w:hAnsi="黑体" w:eastAsia="黑体" w:cs="黑体"/>
          <w:color w:val="auto"/>
          <w:kern w:val="2"/>
          <w:sz w:val="32"/>
          <w:szCs w:val="32"/>
          <w:highlight w:val="none"/>
          <w:u w:val="none"/>
          <w:lang w:eastAsia="zh-CN"/>
        </w:rPr>
      </w:pPr>
      <w:bookmarkStart w:id="471" w:name="_Toc25984"/>
      <w:r>
        <w:rPr>
          <w:rFonts w:hint="eastAsia" w:ascii="黑体" w:hAnsi="黑体" w:eastAsia="黑体" w:cs="黑体"/>
          <w:color w:val="auto"/>
          <w:kern w:val="2"/>
          <w:sz w:val="32"/>
          <w:szCs w:val="32"/>
          <w:highlight w:val="none"/>
          <w:u w:val="none"/>
        </w:rPr>
        <w:t>附件</w:t>
      </w:r>
      <w:bookmarkEnd w:id="461"/>
      <w:bookmarkEnd w:id="462"/>
      <w:bookmarkEnd w:id="463"/>
      <w:bookmarkEnd w:id="465"/>
      <w:bookmarkEnd w:id="466"/>
      <w:bookmarkEnd w:id="467"/>
      <w:bookmarkEnd w:id="468"/>
      <w:bookmarkEnd w:id="469"/>
      <w:bookmarkEnd w:id="470"/>
      <w:r>
        <w:rPr>
          <w:rFonts w:hint="eastAsia" w:ascii="黑体" w:hAnsi="黑体" w:eastAsia="黑体" w:cs="黑体"/>
          <w:color w:val="auto"/>
          <w:kern w:val="2"/>
          <w:sz w:val="32"/>
          <w:szCs w:val="32"/>
          <w:highlight w:val="none"/>
          <w:u w:val="none"/>
          <w:lang w:val="en-US" w:eastAsia="zh-CN"/>
        </w:rPr>
        <w:t>2</w:t>
      </w:r>
      <w:bookmarkEnd w:id="471"/>
    </w:p>
    <w:p w14:paraId="117C43CE">
      <w:pPr>
        <w:pStyle w:val="3"/>
        <w:pageBreakBefore w:val="0"/>
        <w:numPr>
          <w:ilvl w:val="1"/>
          <w:numId w:val="0"/>
        </w:numPr>
        <w:kinsoku/>
        <w:topLinePunct w:val="0"/>
        <w:bidi w:val="0"/>
        <w:spacing w:line="520" w:lineRule="exact"/>
        <w:ind w:leftChars="0"/>
        <w:jc w:val="both"/>
        <w:textAlignment w:val="auto"/>
        <w:outlineLvl w:val="1"/>
        <w:rPr>
          <w:rFonts w:hint="eastAsia" w:ascii="仿宋_GB2312" w:hAnsi="仿宋_GB2312" w:eastAsia="仿宋_GB2312" w:cs="仿宋_GB2312"/>
          <w:color w:val="auto"/>
          <w:sz w:val="30"/>
          <w:szCs w:val="30"/>
          <w:highlight w:val="none"/>
        </w:rPr>
      </w:pPr>
      <w:bookmarkStart w:id="472" w:name="_Toc1694"/>
      <w:bookmarkStart w:id="473" w:name="_Toc10308"/>
      <w:bookmarkStart w:id="474" w:name="_Toc19073"/>
      <w:bookmarkStart w:id="475" w:name="_Toc4674"/>
      <w:bookmarkStart w:id="476" w:name="_Toc5568"/>
      <w:bookmarkStart w:id="477" w:name="_Toc61600707"/>
      <w:bookmarkStart w:id="478" w:name="_Toc22243"/>
      <w:bookmarkStart w:id="479" w:name="_Toc6949"/>
      <w:bookmarkStart w:id="480" w:name="_Toc9975"/>
      <w:bookmarkStart w:id="481" w:name="_Toc16642"/>
      <w:r>
        <w:rPr>
          <w:rFonts w:hint="eastAsia" w:ascii="黑体" w:hAnsi="黑体" w:cs="黑体"/>
          <w:b w:val="0"/>
          <w:bCs w:val="0"/>
          <w:color w:val="auto"/>
          <w:sz w:val="32"/>
          <w:szCs w:val="32"/>
          <w:highlight w:val="none"/>
          <w:u w:val="none"/>
          <w:lang w:val="en-US" w:eastAsia="zh-CN"/>
        </w:rPr>
        <w:t xml:space="preserve"> </w:t>
      </w:r>
      <w:bookmarkEnd w:id="472"/>
      <w:bookmarkEnd w:id="473"/>
      <w:bookmarkStart w:id="482" w:name="_Toc1473"/>
      <w:bookmarkStart w:id="483" w:name="_Toc23112"/>
      <w:bookmarkStart w:id="484" w:name="_Toc12487"/>
      <w:r>
        <w:rPr>
          <w:rFonts w:hint="eastAsia" w:ascii="仿宋_GB2312" w:hAnsi="仿宋_GB2312" w:eastAsia="仿宋_GB2312" w:cs="仿宋_GB2312"/>
          <w:color w:val="auto"/>
          <w:sz w:val="30"/>
          <w:szCs w:val="30"/>
          <w:highlight w:val="none"/>
        </w:rPr>
        <w:t>合同编号：</w:t>
      </w:r>
      <w:bookmarkEnd w:id="482"/>
      <w:bookmarkEnd w:id="483"/>
      <w:bookmarkEnd w:id="484"/>
    </w:p>
    <w:p w14:paraId="49DE386A">
      <w:pPr>
        <w:pageBreakBefore w:val="0"/>
        <w:kinsoku/>
        <w:topLinePunct w:val="0"/>
        <w:bidi w:val="0"/>
        <w:spacing w:line="520" w:lineRule="exact"/>
        <w:jc w:val="both"/>
        <w:textAlignment w:val="auto"/>
        <w:rPr>
          <w:rFonts w:hint="eastAsia" w:ascii="仿宋_GB2312" w:hAnsi="仿宋_GB2312" w:eastAsia="仿宋_GB2312" w:cs="仿宋_GB2312"/>
          <w:color w:val="auto"/>
          <w:sz w:val="32"/>
          <w:szCs w:val="32"/>
          <w:highlight w:val="none"/>
        </w:rPr>
      </w:pPr>
    </w:p>
    <w:p w14:paraId="035317D1">
      <w:pPr>
        <w:pageBreakBefore w:val="0"/>
        <w:kinsoku/>
        <w:topLinePunct w:val="0"/>
        <w:bidi w:val="0"/>
        <w:spacing w:after="122" w:line="520" w:lineRule="exact"/>
        <w:ind w:left="10"/>
        <w:jc w:val="center"/>
        <w:textAlignment w:val="auto"/>
        <w:rPr>
          <w:rFonts w:hint="eastAsia" w:ascii="方正小标宋简体" w:hAnsi="方正小标宋简体" w:eastAsia="方正小标宋简体" w:cs="方正小标宋简体"/>
          <w:b w:val="0"/>
          <w:bCs w:val="0"/>
          <w:color w:val="auto"/>
          <w:sz w:val="40"/>
          <w:szCs w:val="40"/>
          <w:highlight w:val="none"/>
        </w:rPr>
      </w:pPr>
      <w:r>
        <w:rPr>
          <w:rFonts w:hint="eastAsia" w:ascii="方正小标宋简体" w:hAnsi="方正小标宋简体" w:eastAsia="方正小标宋简体" w:cs="方正小标宋简体"/>
          <w:b w:val="0"/>
          <w:bCs w:val="0"/>
          <w:color w:val="auto"/>
          <w:sz w:val="44"/>
          <w:szCs w:val="44"/>
          <w:highlight w:val="none"/>
        </w:rPr>
        <w:t>广东省医疗机构医用耗材集采购销合同</w:t>
      </w:r>
    </w:p>
    <w:p w14:paraId="5A59054E">
      <w:pPr>
        <w:pStyle w:val="18"/>
        <w:pageBreakBefore w:val="0"/>
        <w:kinsoku/>
        <w:topLinePunct w:val="0"/>
        <w:bidi w:val="0"/>
        <w:spacing w:line="52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（血流导向密网支架）</w:t>
      </w:r>
    </w:p>
    <w:p w14:paraId="38E2DF78">
      <w:pPr>
        <w:pageBreakBefore w:val="0"/>
        <w:kinsoku/>
        <w:topLinePunct w:val="0"/>
        <w:bidi w:val="0"/>
        <w:spacing w:line="520" w:lineRule="exact"/>
        <w:jc w:val="both"/>
        <w:textAlignment w:val="auto"/>
        <w:rPr>
          <w:rFonts w:hint="eastAsia" w:ascii="仿宋_GB2312" w:hAnsi="仿宋_GB2312" w:eastAsia="仿宋_GB2312" w:cs="仿宋_GB2312"/>
          <w:color w:val="auto"/>
          <w:sz w:val="30"/>
          <w:szCs w:val="30"/>
          <w:highlight w:val="none"/>
        </w:rPr>
      </w:pPr>
    </w:p>
    <w:p w14:paraId="58631606">
      <w:pPr>
        <w:pageBreakBefore w:val="0"/>
        <w:kinsoku/>
        <w:topLinePunct w:val="0"/>
        <w:bidi w:val="0"/>
        <w:spacing w:line="520" w:lineRule="exact"/>
        <w:ind w:left="10975" w:leftChars="198" w:hanging="10500" w:hangingChars="35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交收地址：中国广东省*市*区*路                   </w:t>
      </w:r>
    </w:p>
    <w:p w14:paraId="4E1EDEC1">
      <w:pPr>
        <w:pageBreakBefore w:val="0"/>
        <w:kinsoku/>
        <w:topLinePunct w:val="0"/>
        <w:bidi w:val="0"/>
        <w:spacing w:line="520" w:lineRule="exact"/>
        <w:ind w:left="10975" w:leftChars="198" w:hanging="10500" w:hangingChars="35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生效时间： 20 * 年 * 月* 日</w:t>
      </w:r>
    </w:p>
    <w:p w14:paraId="0044E456">
      <w:pPr>
        <w:pageBreakBefore w:val="0"/>
        <w:kinsoku/>
        <w:topLinePunct w:val="0"/>
        <w:bidi w:val="0"/>
        <w:spacing w:line="520" w:lineRule="exact"/>
        <w:ind w:left="10975" w:leftChars="198" w:hanging="10500" w:hangingChars="35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有效期：20 * 年 * 月* 日至20 * 年 * 月* 日</w:t>
      </w:r>
    </w:p>
    <w:p w14:paraId="513EF428">
      <w:pPr>
        <w:pageBreakBefore w:val="0"/>
        <w:kinsoku/>
        <w:topLinePunct w:val="0"/>
        <w:bidi w:val="0"/>
        <w:spacing w:line="520" w:lineRule="exact"/>
        <w:ind w:left="10975" w:leftChars="198" w:hanging="10500" w:hangingChars="3500"/>
        <w:jc w:val="both"/>
        <w:textAlignment w:val="auto"/>
        <w:rPr>
          <w:rFonts w:hint="eastAsia" w:ascii="仿宋_GB2312" w:hAnsi="仿宋_GB2312" w:eastAsia="仿宋_GB2312" w:cs="仿宋_GB2312"/>
          <w:color w:val="auto"/>
          <w:sz w:val="30"/>
          <w:szCs w:val="30"/>
          <w:highlight w:val="none"/>
        </w:rPr>
      </w:pPr>
    </w:p>
    <w:p w14:paraId="4D0A09A9">
      <w:pPr>
        <w:pageBreakBefore w:val="0"/>
        <w:kinsoku/>
        <w:topLinePunct w:val="0"/>
        <w:bidi w:val="0"/>
        <w:spacing w:line="520" w:lineRule="exact"/>
        <w:ind w:left="233" w:leftChars="97" w:firstLine="285" w:firstLineChars="95"/>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甲方（医疗机构）：</w:t>
      </w:r>
    </w:p>
    <w:p w14:paraId="5B951A71">
      <w:pPr>
        <w:pageBreakBefore w:val="0"/>
        <w:kinsoku/>
        <w:topLinePunct w:val="0"/>
        <w:bidi w:val="0"/>
        <w:spacing w:line="520" w:lineRule="exact"/>
        <w:ind w:left="233" w:leftChars="97" w:firstLine="285" w:firstLineChars="95"/>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乙方（生产企业）：</w:t>
      </w:r>
    </w:p>
    <w:p w14:paraId="0B065896">
      <w:pPr>
        <w:pageBreakBefore w:val="0"/>
        <w:kinsoku/>
        <w:topLinePunct w:val="0"/>
        <w:bidi w:val="0"/>
        <w:spacing w:line="520" w:lineRule="exact"/>
        <w:ind w:left="233" w:leftChars="97" w:firstLine="285" w:firstLineChars="95"/>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丙方（配送企业）：</w:t>
      </w:r>
    </w:p>
    <w:p w14:paraId="32A3F69E">
      <w:pPr>
        <w:pageBreakBefore w:val="0"/>
        <w:kinsoku/>
        <w:topLinePunct w:val="0"/>
        <w:bidi w:val="0"/>
        <w:spacing w:after="194" w:line="520" w:lineRule="exact"/>
        <w:ind w:left="5"/>
        <w:jc w:val="both"/>
        <w:textAlignment w:val="auto"/>
        <w:rPr>
          <w:rFonts w:hint="eastAsia" w:ascii="仿宋_GB2312" w:hAnsi="仿宋_GB2312" w:eastAsia="仿宋_GB2312" w:cs="仿宋_GB2312"/>
          <w:color w:val="auto"/>
          <w:sz w:val="30"/>
          <w:szCs w:val="30"/>
          <w:highlight w:val="none"/>
        </w:rPr>
      </w:pPr>
    </w:p>
    <w:p w14:paraId="707D3611">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根据《</w:t>
      </w:r>
      <w:bookmarkStart w:id="485" w:name="_Hlk106108762"/>
      <w:r>
        <w:rPr>
          <w:rFonts w:hint="eastAsia" w:ascii="仿宋_GB2312" w:hAnsi="仿宋_GB2312" w:eastAsia="仿宋_GB2312" w:cs="仿宋_GB2312"/>
          <w:color w:val="auto"/>
          <w:sz w:val="30"/>
          <w:szCs w:val="30"/>
          <w:highlight w:val="none"/>
        </w:rPr>
        <w:t>中华人民共和国民法典</w:t>
      </w:r>
      <w:bookmarkEnd w:id="485"/>
      <w:r>
        <w:rPr>
          <w:rFonts w:hint="eastAsia" w:ascii="仿宋_GB2312" w:hAnsi="仿宋_GB2312" w:eastAsia="仿宋_GB2312" w:cs="仿宋_GB2312"/>
          <w:color w:val="auto"/>
          <w:sz w:val="30"/>
          <w:szCs w:val="30"/>
          <w:highlight w:val="none"/>
        </w:rPr>
        <w:t>》《医疗器械监督管理条例》《医疗器械生产监督管理办法》《医疗器械经营监督管理办法》等相关法律法规及</w:t>
      </w:r>
      <w:r>
        <w:rPr>
          <w:rFonts w:hint="eastAsia" w:ascii="仿宋_GB2312" w:hAnsi="仿宋_GB2312" w:eastAsia="仿宋_GB2312" w:cs="仿宋_GB2312"/>
          <w:color w:val="auto"/>
          <w:kern w:val="2"/>
          <w:sz w:val="30"/>
          <w:szCs w:val="30"/>
          <w:highlight w:val="none"/>
          <w:u w:val="none"/>
        </w:rPr>
        <w:t>《</w:t>
      </w:r>
      <w:r>
        <w:rPr>
          <w:rFonts w:hint="eastAsia" w:ascii="仿宋_GB2312" w:hAnsi="仿宋" w:eastAsia="仿宋_GB2312" w:cs="仿宋_GB2312"/>
          <w:color w:val="auto"/>
          <w:kern w:val="0"/>
          <w:sz w:val="30"/>
          <w:szCs w:val="30"/>
          <w:highlight w:val="none"/>
          <w:lang w:val="en-US" w:eastAsia="zh-CN" w:bidi="ar"/>
        </w:rPr>
        <w:t>广东省血流导向密网支架类医用耗材带量联动</w:t>
      </w:r>
      <w:r>
        <w:rPr>
          <w:rFonts w:hint="eastAsia" w:ascii="仿宋_GB2312" w:hAnsi="仿宋_GB2312" w:eastAsia="仿宋_GB2312" w:cs="仿宋_GB2312"/>
          <w:color w:val="auto"/>
          <w:sz w:val="30"/>
          <w:szCs w:val="30"/>
          <w:highlight w:val="none"/>
          <w:lang w:eastAsia="zh-CN"/>
        </w:rPr>
        <w:t>采购文件</w:t>
      </w:r>
      <w:r>
        <w:rPr>
          <w:rFonts w:hint="eastAsia" w:ascii="仿宋_GB2312" w:hAnsi="仿宋_GB2312" w:eastAsia="仿宋_GB2312" w:cs="仿宋_GB2312"/>
          <w:color w:val="auto"/>
          <w:kern w:val="2"/>
          <w:sz w:val="30"/>
          <w:szCs w:val="30"/>
          <w:highlight w:val="none"/>
          <w:u w:val="none"/>
        </w:rPr>
        <w:t>》</w:t>
      </w:r>
      <w:r>
        <w:rPr>
          <w:rFonts w:hint="eastAsia" w:ascii="仿宋_GB2312" w:hAnsi="仿宋_GB2312" w:eastAsia="仿宋_GB2312" w:cs="仿宋_GB2312"/>
          <w:color w:val="auto"/>
          <w:kern w:val="2"/>
          <w:sz w:val="30"/>
          <w:szCs w:val="30"/>
          <w:highlight w:val="none"/>
          <w:u w:val="none"/>
          <w:lang w:eastAsia="zh-CN"/>
        </w:rPr>
        <w:t>（</w:t>
      </w:r>
      <w:r>
        <w:rPr>
          <w:rFonts w:hint="eastAsia" w:ascii="仿宋_GB2312" w:hAnsi="仿宋_GB2312" w:eastAsia="仿宋_GB2312" w:cs="仿宋_GB2312"/>
          <w:color w:val="auto"/>
          <w:kern w:val="2"/>
          <w:sz w:val="30"/>
          <w:szCs w:val="30"/>
          <w:highlight w:val="none"/>
          <w:u w:val="none"/>
          <w:lang w:val="en-US" w:eastAsia="zh-CN"/>
        </w:rPr>
        <w:t>采购文件编号：SZGGZYHCDL202501</w:t>
      </w:r>
      <w:r>
        <w:rPr>
          <w:rFonts w:hint="eastAsia" w:ascii="仿宋_GB2312" w:hAnsi="仿宋_GB2312" w:eastAsia="仿宋_GB2312" w:cs="仿宋_GB2312"/>
          <w:color w:val="auto"/>
          <w:kern w:val="2"/>
          <w:sz w:val="30"/>
          <w:szCs w:val="30"/>
          <w:highlight w:val="none"/>
          <w:u w:val="none"/>
          <w:lang w:eastAsia="zh-CN"/>
        </w:rPr>
        <w:t>）</w:t>
      </w:r>
      <w:r>
        <w:rPr>
          <w:rFonts w:hint="eastAsia" w:ascii="仿宋_GB2312" w:hAnsi="仿宋_GB2312" w:eastAsia="仿宋_GB2312" w:cs="仿宋_GB2312"/>
          <w:color w:val="auto"/>
          <w:sz w:val="30"/>
          <w:szCs w:val="30"/>
          <w:highlight w:val="none"/>
        </w:rPr>
        <w:t>，为确保医用耗材采购的顺利进行，明确各方的权利和义务，现甲、乙、丙三方在平等、自愿、诚信的基础上，特订立本合同。</w:t>
      </w:r>
    </w:p>
    <w:p w14:paraId="4E831CF2">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第一条 三方关系</w:t>
      </w:r>
    </w:p>
    <w:p w14:paraId="79302D77">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1.甲方为参与</w:t>
      </w:r>
      <w:r>
        <w:rPr>
          <w:rFonts w:hint="eastAsia" w:ascii="仿宋_GB2312" w:hAnsi="仿宋_GB2312" w:eastAsia="仿宋_GB2312" w:cs="仿宋_GB2312"/>
          <w:color w:val="auto"/>
          <w:sz w:val="30"/>
          <w:szCs w:val="30"/>
          <w:highlight w:val="none"/>
          <w:u w:val="single"/>
          <w:lang w:eastAsia="zh-CN"/>
        </w:rPr>
        <w:t>广东省血流导向密网支架类医用耗材带量联动</w:t>
      </w:r>
      <w:r>
        <w:rPr>
          <w:rFonts w:hint="eastAsia" w:ascii="仿宋_GB2312" w:hAnsi="仿宋_GB2312" w:eastAsia="仿宋_GB2312" w:cs="仿宋_GB2312"/>
          <w:color w:val="auto"/>
          <w:sz w:val="30"/>
          <w:szCs w:val="30"/>
          <w:highlight w:val="none"/>
          <w:u w:val="single"/>
          <w:lang w:val="en-US" w:eastAsia="zh-CN"/>
        </w:rPr>
        <w:t>采购</w:t>
      </w:r>
      <w:r>
        <w:rPr>
          <w:rFonts w:hint="eastAsia" w:ascii="仿宋_GB2312" w:hAnsi="仿宋_GB2312" w:eastAsia="仿宋_GB2312" w:cs="仿宋_GB2312"/>
          <w:color w:val="auto"/>
          <w:kern w:val="2"/>
          <w:sz w:val="30"/>
          <w:szCs w:val="30"/>
          <w:highlight w:val="none"/>
          <w:u w:val="single"/>
          <w:lang w:eastAsia="zh-CN"/>
        </w:rPr>
        <w:t>（</w:t>
      </w:r>
      <w:r>
        <w:rPr>
          <w:rFonts w:hint="eastAsia" w:ascii="仿宋_GB2312" w:hAnsi="仿宋_GB2312" w:eastAsia="仿宋_GB2312" w:cs="仿宋_GB2312"/>
          <w:color w:val="auto"/>
          <w:kern w:val="2"/>
          <w:sz w:val="30"/>
          <w:szCs w:val="30"/>
          <w:highlight w:val="none"/>
          <w:u w:val="single"/>
          <w:lang w:val="en-US" w:eastAsia="zh-CN"/>
        </w:rPr>
        <w:t>以下简称密网支架带量联动采购</w:t>
      </w:r>
      <w:r>
        <w:rPr>
          <w:rFonts w:hint="eastAsia" w:ascii="仿宋_GB2312" w:hAnsi="仿宋_GB2312" w:eastAsia="仿宋_GB2312" w:cs="仿宋_GB2312"/>
          <w:color w:val="auto"/>
          <w:kern w:val="2"/>
          <w:sz w:val="30"/>
          <w:szCs w:val="30"/>
          <w:highlight w:val="none"/>
          <w:u w:val="single"/>
          <w:lang w:eastAsia="zh-CN"/>
        </w:rPr>
        <w:t>）</w:t>
      </w:r>
      <w:r>
        <w:rPr>
          <w:rFonts w:hint="eastAsia" w:ascii="仿宋_GB2312" w:hAnsi="仿宋_GB2312" w:eastAsia="仿宋_GB2312" w:cs="仿宋_GB2312"/>
          <w:color w:val="auto"/>
          <w:sz w:val="30"/>
          <w:szCs w:val="30"/>
          <w:highlight w:val="none"/>
        </w:rPr>
        <w:t>的医疗机构，乙方为</w:t>
      </w:r>
      <w:r>
        <w:rPr>
          <w:rFonts w:hint="eastAsia" w:ascii="仿宋_GB2312" w:hAnsi="仿宋_GB2312" w:eastAsia="仿宋_GB2312" w:cs="仿宋_GB2312"/>
          <w:bCs/>
          <w:color w:val="auto"/>
          <w:kern w:val="2"/>
          <w:sz w:val="30"/>
          <w:szCs w:val="30"/>
          <w:highlight w:val="none"/>
          <w:u w:val="none"/>
          <w:lang w:eastAsia="zh-CN"/>
        </w:rPr>
        <w:t>密网支架带量联动采购</w:t>
      </w:r>
      <w:r>
        <w:rPr>
          <w:rFonts w:hint="eastAsia" w:ascii="仿宋_GB2312" w:hAnsi="仿宋_GB2312" w:eastAsia="仿宋_GB2312" w:cs="仿宋_GB2312"/>
          <w:color w:val="auto"/>
          <w:sz w:val="30"/>
          <w:szCs w:val="30"/>
          <w:highlight w:val="none"/>
        </w:rPr>
        <w:t>（按项目结果选择：中选</w:t>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color w:val="auto"/>
          <w:sz w:val="30"/>
          <w:szCs w:val="30"/>
          <w:highlight w:val="none"/>
        </w:rPr>
        <w:t>非中选）医用耗材（以下简称相关医用耗材）的生产企业（含境外注册/备案人在境内的全权代理人），丙方为乙方委托的</w:t>
      </w:r>
      <w:r>
        <w:rPr>
          <w:rFonts w:hint="eastAsia" w:ascii="仿宋_GB2312" w:hAnsi="仿宋_GB2312" w:eastAsia="仿宋_GB2312" w:cs="仿宋_GB2312"/>
          <w:color w:val="auto"/>
          <w:kern w:val="2"/>
          <w:sz w:val="30"/>
          <w:szCs w:val="30"/>
          <w:highlight w:val="none"/>
          <w:u w:val="single"/>
          <w:lang w:val="en-US" w:eastAsia="zh-CN"/>
        </w:rPr>
        <w:t>密网支架带量联动采购</w:t>
      </w:r>
      <w:r>
        <w:rPr>
          <w:rFonts w:hint="eastAsia" w:ascii="仿宋_GB2312" w:hAnsi="仿宋_GB2312" w:eastAsia="仿宋_GB2312" w:cs="仿宋_GB2312"/>
          <w:color w:val="auto"/>
          <w:sz w:val="30"/>
          <w:szCs w:val="30"/>
          <w:highlight w:val="none"/>
        </w:rPr>
        <w:t>医用耗材的配送企业。</w:t>
      </w:r>
    </w:p>
    <w:p w14:paraId="7A9574BE">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color w:val="auto"/>
          <w:sz w:val="30"/>
          <w:szCs w:val="30"/>
          <w:highlight w:val="none"/>
        </w:rPr>
        <w:t>2.在本合同有效期内，三方之间的医用耗材购销行为以及因此而产生的其他关系均受本合同约束。</w:t>
      </w:r>
    </w:p>
    <w:p w14:paraId="765EAA8E">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第二条 合同标的</w:t>
      </w:r>
    </w:p>
    <w:p w14:paraId="48202A52">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1.相关医用耗材的名称、规格、型号、包装规格、价格、协议采购量、生产企业等见本合同附件之相关医用耗材采购明细表。</w:t>
      </w:r>
    </w:p>
    <w:p w14:paraId="187EC937">
      <w:pPr>
        <w:pStyle w:val="18"/>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kern w:val="2"/>
          <w:sz w:val="30"/>
          <w:szCs w:val="30"/>
          <w:highlight w:val="none"/>
        </w:rPr>
        <w:t>2.原则上每年签订一次合同。集采产品执行之日起，集采产品此前签订的其他合同终止，</w:t>
      </w:r>
      <w:r>
        <w:rPr>
          <w:rFonts w:hint="eastAsia" w:ascii="仿宋_GB2312" w:hAnsi="仿宋_GB2312" w:eastAsia="仿宋_GB2312" w:cs="仿宋_GB2312"/>
          <w:color w:val="auto"/>
          <w:sz w:val="30"/>
          <w:szCs w:val="30"/>
          <w:highlight w:val="none"/>
        </w:rPr>
        <w:t>按本合同约定的条款执行</w:t>
      </w:r>
      <w:r>
        <w:rPr>
          <w:rFonts w:hint="eastAsia" w:ascii="仿宋_GB2312" w:hAnsi="仿宋_GB2312" w:eastAsia="仿宋_GB2312" w:cs="仿宋_GB2312"/>
          <w:color w:val="auto"/>
          <w:kern w:val="2"/>
          <w:sz w:val="30"/>
          <w:szCs w:val="30"/>
          <w:highlight w:val="none"/>
        </w:rPr>
        <w:t>；本合同执行过程中，若中选价格或挂网价格发生调整，乙方、丙方可自主选择是否重新签订合同，如果乙方和丙方同时愿意以新价格供应甲方的，则无需重签合同，本合同价格按照新价格调整。</w:t>
      </w:r>
    </w:p>
    <w:p w14:paraId="0EF04951">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第三条 资质</w:t>
      </w:r>
    </w:p>
    <w:p w14:paraId="626C84A5">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1.乙方为合法的医用耗材生产企业，且具备法定的履行本合同的能力，乙方应当在签订本合同后的 3日内向丙方提供如下加盖有乙方公章的材料复印件：</w:t>
      </w:r>
    </w:p>
    <w:p w14:paraId="56DEE7BE">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（1）营业执照；</w:t>
      </w:r>
    </w:p>
    <w:p w14:paraId="77060024">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（2）医疗器械生产/经营许可（备案）证。</w:t>
      </w:r>
    </w:p>
    <w:p w14:paraId="0188B23D">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2.丙方为合法的医用耗材配送企业，且具备法定的履行本合同的能力，丙方应当在签订本合同后的 3日内向甲方、乙方提供如下加盖有丙方公章的材料复印件：</w:t>
      </w:r>
    </w:p>
    <w:p w14:paraId="41022530">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（1）营业执照；</w:t>
      </w:r>
    </w:p>
    <w:p w14:paraId="0F179477">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（2）医疗器械经营许可/备案证。</w:t>
      </w:r>
    </w:p>
    <w:p w14:paraId="16BD23D2">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3.乙方、丙方中任何一方未提供上述材料的，本合同不得开始履行。</w:t>
      </w:r>
    </w:p>
    <w:p w14:paraId="699EC3BA">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4.在本合同履行期间，如遇乙、丙双方上述证书换发，双方应在证书换发后的 10 个工作日内向对方以及甲方提供更新后的材料。</w:t>
      </w:r>
    </w:p>
    <w:p w14:paraId="0A7754DB">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第四条 交易方式</w:t>
      </w:r>
    </w:p>
    <w:p w14:paraId="2F5F359D">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firstLine="600" w:firstLineChars="200"/>
        <w:jc w:val="both"/>
        <w:textAlignment w:val="auto"/>
        <w:rPr>
          <w:rFonts w:hint="eastAsia" w:ascii="仿宋_GB2312" w:hAnsi="仿宋_GB2312" w:eastAsia="仿宋_GB2312" w:cs="仿宋_GB2312"/>
          <w:color w:val="auto"/>
          <w:kern w:val="0"/>
          <w:sz w:val="30"/>
          <w:szCs w:val="30"/>
          <w:highlight w:val="none"/>
          <w:lang w:bidi="ar"/>
        </w:rPr>
      </w:pPr>
      <w:r>
        <w:rPr>
          <w:rFonts w:hint="eastAsia" w:ascii="仿宋_GB2312" w:hAnsi="仿宋_GB2312" w:eastAsia="仿宋_GB2312" w:cs="仿宋_GB2312"/>
          <w:color w:val="auto"/>
          <w:sz w:val="30"/>
          <w:szCs w:val="30"/>
          <w:highlight w:val="none"/>
        </w:rPr>
        <w:t>甲方、乙方、丙方对本合同所列相关医用耗材通过</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rPr>
        <w:t>（省/广州/深圳）采购平台进行采购。</w:t>
      </w:r>
    </w:p>
    <w:p w14:paraId="16C08464">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第五条 医用耗材质量、批件与有效期</w:t>
      </w:r>
    </w:p>
    <w:p w14:paraId="463A07EF">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乙方供应的相关医用耗材应符合相关医用耗材生产国与中华人民共和国国家医用耗材质量标准和有关质量要求，并与挂网时承诺的质量相一致，以确保使用安全有效。医用耗材的包装、标识、标签、说明书等应符合国家相关规定，并具备国家管理部门的相关批件。</w:t>
      </w:r>
    </w:p>
    <w:p w14:paraId="3661A3BF">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2.乙方、丙方应向甲方提供其合法的有效证件及所供相关医用耗材的生产批件或进口医用耗材注册证、质量标准等相关文件。</w:t>
      </w:r>
    </w:p>
    <w:p w14:paraId="3C0AB69B">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各方对医用耗材质量存在争议时，应送甲方所在地药检部门检验，同时报告所在地主管部门。如送检医用耗材存在质量问题的，检验费用乙方承担，甲方有权据此单方终止该相关医用耗材购销合同的履行，同时报告所在地医保、药监部门，按《国家医保局 国家发展改革委 工业和信息化部 财政部 国家卫生健康委 市场监管总局 国家药监局中央军委后勤保障部关于开展国家组织高值医用耗材集中带量采购和使用的指导意见》（医保发〔2021〕31号）、《广东省医疗保障局关于做好药品和医用耗材采购工作的指导意见》（粤医保规〔2020〕2号）等国家省政策文件及《</w:t>
      </w:r>
      <w:r>
        <w:rPr>
          <w:rFonts w:hint="eastAsia" w:ascii="仿宋_GB2312" w:hAnsi="仿宋" w:eastAsia="仿宋_GB2312" w:cs="仿宋_GB2312"/>
          <w:color w:val="auto"/>
          <w:kern w:val="0"/>
          <w:sz w:val="30"/>
          <w:szCs w:val="30"/>
          <w:highlight w:val="none"/>
          <w:lang w:val="en-US" w:eastAsia="zh-CN" w:bidi="ar"/>
        </w:rPr>
        <w:t>广东省血流导向密网支架类医用耗材带量联动</w:t>
      </w:r>
      <w:r>
        <w:rPr>
          <w:rFonts w:hint="eastAsia" w:ascii="仿宋_GB2312" w:hAnsi="仿宋_GB2312" w:eastAsia="仿宋_GB2312" w:cs="仿宋_GB2312"/>
          <w:color w:val="auto"/>
          <w:sz w:val="30"/>
          <w:szCs w:val="30"/>
          <w:highlight w:val="none"/>
          <w:lang w:eastAsia="zh-CN"/>
        </w:rPr>
        <w:t>采购文件</w:t>
      </w:r>
      <w:r>
        <w:rPr>
          <w:rFonts w:hint="eastAsia" w:ascii="仿宋_GB2312" w:hAnsi="仿宋_GB2312" w:eastAsia="仿宋_GB2312" w:cs="仿宋_GB2312"/>
          <w:color w:val="auto"/>
          <w:sz w:val="30"/>
          <w:szCs w:val="30"/>
          <w:highlight w:val="none"/>
        </w:rPr>
        <w:t>》（采购文件编号：</w:t>
      </w:r>
      <w:r>
        <w:rPr>
          <w:rFonts w:hint="eastAsia" w:ascii="仿宋_GB2312" w:hAnsi="仿宋_GB2312" w:eastAsia="仿宋_GB2312" w:cs="仿宋_GB2312"/>
          <w:color w:val="auto"/>
          <w:sz w:val="30"/>
          <w:szCs w:val="30"/>
          <w:highlight w:val="none"/>
          <w:lang w:eastAsia="zh-CN"/>
        </w:rPr>
        <w:t>SZGGZYHCDL20250</w:t>
      </w: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）及主管部门相关规定处理；如甲方不终止履行的，有权按本合同第九条规定进行退换货，乙方、丙方应承担逾期供货责任；如送检医用耗材无质量问题的，合同继续履行，检验费用由甲方承担。</w:t>
      </w:r>
    </w:p>
    <w:p w14:paraId="169A15FA">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4.甲、乙、丙三方按各自责任范围承担医用耗材储存及质量管理责任：</w:t>
      </w:r>
    </w:p>
    <w:p w14:paraId="2F189077">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（1）甲方对已购进的相关医用耗材应妥善储存和管理，如因甲方库存条件不符合医用耗材正常储存造成的医用耗材质量问题，由甲方承担全部责任。</w:t>
      </w:r>
    </w:p>
    <w:p w14:paraId="1BC3027A">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（2）丙方对已购进的相关医用耗材应妥善储存和管理，如因丙方库存条件不符合医用耗材正常储存造成的医用耗材质量问题，由丙方承担全部责任。</w:t>
      </w:r>
    </w:p>
    <w:p w14:paraId="0BE12EB6">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（3）除上述原因外的医用耗材质量问题造成的一切损失及第三方责任，由乙方和丙方承担连带责任。有关乙方和丙方之间内部责任问题按双方约定。</w:t>
      </w:r>
    </w:p>
    <w:p w14:paraId="0D74B07D">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5.前述相关医用耗材注册证（备案证）应当随货提供。</w:t>
      </w:r>
    </w:p>
    <w:p w14:paraId="31AA8C34">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6.除非甲方对有效期另有规定，甲方收到耗材的时间距离耗材的有效期截止日原则上不得少于6个月。如遇特殊情况，甲、乙、丙三方可另行通过补充协议的方式约定剩余有效期的长短。在相关医用耗材发生货源紧张的状况下，乙方应优先满足本合同的需求，避免脱销。</w:t>
      </w:r>
    </w:p>
    <w:p w14:paraId="4FF77B66">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7.如乙方供货相关医用耗材为首营品种的，乙方有责任在交货前向丙方提供完整、准确的医用耗材首营资料。</w:t>
      </w:r>
    </w:p>
    <w:p w14:paraId="7F528279">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8.丙方可以拒收乙方超出订货协议数量的货物。特殊品种甲、乙、丙三方另行协商。</w:t>
      </w:r>
    </w:p>
    <w:p w14:paraId="753120C4">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第六条 订货与运送交付</w:t>
      </w:r>
    </w:p>
    <w:p w14:paraId="1F68EA51">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1.本合同签订后，乙方应按约定采购量组织生产，保证按本合同约定及时足量供应相关医用耗材。</w:t>
      </w:r>
    </w:p>
    <w:p w14:paraId="37BD23D1">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2.甲方在乙方、丙方无违约行为的前提下，必须足量采购本合同附件所列的相关医用耗材，确保在合同有效期内完成约定采购量。</w:t>
      </w:r>
    </w:p>
    <w:p w14:paraId="3435972E">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3.乙方保证相关医用耗材包装符合《医疗器械监督管理条例》及国家各级药品监督管理机构颁布的法规规章及货物运输要求。</w:t>
      </w:r>
    </w:p>
    <w:p w14:paraId="034D48BE">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丙方保证以符合《医疗器械经营监督管理办法》规范及相关医用耗材特性的物流配送方式进行运输，并就运输过程中因包装或运输不善、配送迟延等原因导致相关医用耗材损坏、变质、短缺或剩余有效期不符等承担全部责任。</w:t>
      </w:r>
    </w:p>
    <w:p w14:paraId="77DCD3B6">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bookmarkStart w:id="486" w:name="_Hlk48139721"/>
      <w:r>
        <w:rPr>
          <w:rFonts w:hint="eastAsia" w:ascii="仿宋_GB2312" w:hAnsi="仿宋_GB2312" w:eastAsia="仿宋_GB2312" w:cs="仿宋_GB2312"/>
          <w:color w:val="auto"/>
          <w:sz w:val="30"/>
          <w:szCs w:val="30"/>
          <w:highlight w:val="none"/>
        </w:rPr>
        <w:t>5.乙方应按乙、丙双方约定的运输方式、期限和交货地点向丙方交付产品。</w:t>
      </w:r>
    </w:p>
    <w:p w14:paraId="318944C1">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6.乙、丙双方确认供货事项后，乙方如期供货但供货相关医用耗材种类不符或有短缺，丙方有权拒收。</w:t>
      </w:r>
    </w:p>
    <w:p w14:paraId="79D0B41A">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7.丙方可委托第三方物流将相关医用耗材托运至甲方指定的收货地点，在此种情况下运输中发生的一切费用，包括但不限于中转费、运输费、保险费及卸货费等均由丙方承担。</w:t>
      </w:r>
    </w:p>
    <w:p w14:paraId="2D7DC453">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8. 相关医用耗材到达丙方仓库或丙方收货地点交付之前的风险由乙方承担，</w:t>
      </w:r>
      <w:bookmarkEnd w:id="486"/>
      <w:r>
        <w:rPr>
          <w:rFonts w:hint="eastAsia" w:ascii="仿宋_GB2312" w:hAnsi="仿宋_GB2312" w:eastAsia="仿宋_GB2312" w:cs="仿宋_GB2312"/>
          <w:color w:val="auto"/>
          <w:sz w:val="30"/>
          <w:szCs w:val="30"/>
          <w:highlight w:val="none"/>
        </w:rPr>
        <w:t>到达丙方仓库或丙方收货地点且经验收交付丙方后的风险由丙方承担。</w:t>
      </w:r>
    </w:p>
    <w:p w14:paraId="5F93A894">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9.甲方通过采购平台发送的订单，丙方应在12小时内响应，24小时内配送到位，最长不超过48小时；偏远地区可适当放宽配送到位时间，原则上72小时内必须配送到位。</w:t>
      </w:r>
    </w:p>
    <w:p w14:paraId="72094241">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10.丙方配送相关医用耗材的品种、规格型号、数量等必须严格按照甲方发送的订单执行，同时应提供同批号医用耗材的检验报告书。</w:t>
      </w:r>
    </w:p>
    <w:p w14:paraId="787029DE">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11.乙方为相关医用耗材质量与供应的第一责任人，对丙方的配送供货行为负责，并承担连带责任。</w:t>
      </w:r>
    </w:p>
    <w:p w14:paraId="660FAA59">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bookmarkStart w:id="487" w:name="_Hlk48139743"/>
      <w:r>
        <w:rPr>
          <w:rFonts w:hint="eastAsia" w:ascii="仿宋_GB2312" w:hAnsi="仿宋_GB2312" w:eastAsia="仿宋_GB2312" w:cs="仿宋_GB2312"/>
          <w:color w:val="auto"/>
          <w:sz w:val="30"/>
          <w:szCs w:val="30"/>
          <w:highlight w:val="none"/>
        </w:rPr>
        <w:t>12.除非对包装另有规定，丙方配送的全部医用耗材必须按标准保护措施进行包装，以防止医用耗材在转运中损坏或变质，确保医用耗材安全无损运抵指定现场，否则其所造成的一切损失均由乙、丙双方共同承担赔偿责任。</w:t>
      </w:r>
    </w:p>
    <w:p w14:paraId="0CC29664">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13.每一个包装箱内必须附一份详细装箱单。包装、标记和包装箱内外的单据应符合协议的特殊要求，包括甲方后来提出的特殊要求。</w:t>
      </w:r>
      <w:bookmarkEnd w:id="487"/>
    </w:p>
    <w:p w14:paraId="3A59480D">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第七条 医用耗材验收</w:t>
      </w:r>
    </w:p>
    <w:p w14:paraId="6E6BDB9B">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bookmarkStart w:id="488" w:name="_Hlk48139856"/>
      <w:r>
        <w:rPr>
          <w:rFonts w:hint="eastAsia" w:ascii="仿宋_GB2312" w:hAnsi="仿宋_GB2312" w:eastAsia="仿宋_GB2312" w:cs="仿宋_GB2312"/>
          <w:color w:val="auto"/>
          <w:sz w:val="30"/>
          <w:szCs w:val="30"/>
          <w:highlight w:val="none"/>
        </w:rPr>
        <w:t>1.相关医用耗材交付时，乙方应货票同行，并严格按照法定的运输管理要求及医用耗材储存、包装标准等将相关医用耗材按时发运给丙方，丙方收到乙方供货的相关医用耗材时，应当场清点产品的整体外包装（即大件包装）是否完好牢固，乙方应派人协助丙方验收。乙方未派人协助丙方验收，视为乙方确认丙方可独立验收。丙方在接收产品时，发现短少、破损、污染、异形等情形，或有其他不符合法律法规规定的情形，有权拒绝接收，乙方应及时更换被拒绝的相关医用耗材，并承担由此对丙方造成的损失。</w:t>
      </w:r>
    </w:p>
    <w:p w14:paraId="3C45004F">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相关医用耗材入丙方库后，丙方发现其中中小包装短少、破损、污染、异形等情形，或有其他不符合法律法规规定的情形，丙方应当及时通知乙方（并附情况说明及补货、退货或换货的书面要求现场照片）。乙方在接到丙方书面要求后的15日内应当按丙方的要求补货、退货或换货，由此产生的一切风险和费用由乙方承担。丙方发现同一批供货中的中小包装短少、破损、污染、异形等情况超过总量的5%的，有权要求乙方就该批供货整体退货或换货。</w:t>
      </w:r>
    </w:p>
    <w:p w14:paraId="4B436956">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即使乙方的相关医用耗材通过了丙方的验收，仍不能排除乙方供货相关医用耗材存在质量缺陷的可能。在发生医用耗材质量纠纷时，乙方不能以“已通过验收”作为成交医用耗材不存在安全、质量瑕疵的抗辩理由。</w:t>
      </w:r>
    </w:p>
    <w:p w14:paraId="46162B9B">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4.丙方应当在配送成交医用耗材予甲方的同时，在交易系统按要求进行相应的操作及上传相应的文件如出库单、发票等。</w:t>
      </w:r>
    </w:p>
    <w:p w14:paraId="3BEDA317">
      <w:pPr>
        <w:keepNext w:val="0"/>
        <w:keepLines w:val="0"/>
        <w:pageBreakBefore w:val="0"/>
        <w:widowControl w:val="0"/>
        <w:numPr>
          <w:ilvl w:val="255"/>
          <w:numId w:val="0"/>
        </w:numPr>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5.丙方应当在配送相关医用耗材予甲方的同时，在交易系统按要求进行相应的操作及上传相应的文件如出库单、发票等；对于甲方验收合格的医用耗材，甲方应自丙方在系统操作确认发货之时起7个工作日内在交易系统进行收货确认，甲方未在上述时段内确认收货的，系统将自动确认收货。</w:t>
      </w:r>
      <w:bookmarkEnd w:id="488"/>
    </w:p>
    <w:p w14:paraId="7AD72126">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第八条 相关医用耗材规定</w:t>
      </w:r>
    </w:p>
    <w:p w14:paraId="691D7659">
      <w:pPr>
        <w:keepNext w:val="0"/>
        <w:keepLines w:val="0"/>
        <w:pageBreakBefore w:val="0"/>
        <w:widowControl w:val="0"/>
        <w:numPr>
          <w:ilvl w:val="255"/>
          <w:numId w:val="0"/>
        </w:numPr>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甲方为公立医疗机构（含驻粤军队医疗机构）的，根据购销合同约定，在合同期内按照国家和省级医用耗材集中带量采购相关政策完成合同用量。若在合同期内提前超额完成协议采购量的，超出协议采购量的部分，乙方仍需按照国家和省级医用耗材集中带量采购相关政策进行供应。甲方为自愿参加的非公立医疗机构采购主体的，甲方和乙方参照上述内容执行。</w:t>
      </w:r>
    </w:p>
    <w:p w14:paraId="457D3FEA">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本购销合同一旦签订，甲、乙、丙三方需按购销合同规定执行。</w:t>
      </w:r>
    </w:p>
    <w:p w14:paraId="24901A85">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i/>
          <w:iCs/>
          <w:color w:val="auto"/>
          <w:sz w:val="30"/>
          <w:szCs w:val="30"/>
          <w:highlight w:val="none"/>
        </w:rPr>
      </w:pPr>
      <w:r>
        <w:rPr>
          <w:rFonts w:hint="eastAsia" w:ascii="仿宋_GB2312" w:hAnsi="仿宋_GB2312" w:eastAsia="仿宋_GB2312" w:cs="仿宋_GB2312"/>
          <w:color w:val="auto"/>
          <w:sz w:val="30"/>
          <w:szCs w:val="30"/>
          <w:highlight w:val="none"/>
        </w:rPr>
        <w:t>2.甲方主动向社会公开</w:t>
      </w:r>
      <w:r>
        <w:rPr>
          <w:rFonts w:hint="eastAsia" w:ascii="仿宋_GB2312" w:hAnsi="仿宋_GB2312" w:eastAsia="仿宋_GB2312" w:cs="仿宋_GB2312"/>
          <w:color w:val="auto"/>
          <w:sz w:val="30"/>
          <w:szCs w:val="30"/>
          <w:highlight w:val="none"/>
          <w:lang w:eastAsia="zh-CN"/>
        </w:rPr>
        <w:t>密网支架带量联动采购</w:t>
      </w:r>
      <w:r>
        <w:rPr>
          <w:rFonts w:hint="eastAsia" w:ascii="仿宋_GB2312" w:hAnsi="仿宋_GB2312" w:eastAsia="仿宋_GB2312" w:cs="仿宋_GB2312"/>
          <w:color w:val="auto"/>
          <w:sz w:val="30"/>
          <w:szCs w:val="30"/>
          <w:highlight w:val="none"/>
        </w:rPr>
        <w:t>相关医用耗材的购进价格和销售价格信息。</w:t>
      </w:r>
    </w:p>
    <w:p w14:paraId="185885E5">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第九条 货款结算</w:t>
      </w:r>
    </w:p>
    <w:p w14:paraId="558FBA07">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采购价格：按本合同附件之相关医用耗材采购明细表中载明的成交价格执行，该价格包含成本、运输、包装、伴随服务、税费及其他一切附加费用；其中，“最小使用单位成交价格”保留小数点后4位；“最小零售包装单位成交价格”为最小使用单位成交价格根据包装规格换算得出，按照四舍五入原则，保留小数点后2位；合同合计金额以“最小零售包装单位成交价格”与“采购量（以最小零售包装单位计）”换算得出。</w:t>
      </w:r>
    </w:p>
    <w:p w14:paraId="519831DA">
      <w:pPr>
        <w:pStyle w:val="6"/>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2.发票开具：丙方应对相关医用耗材开具发票和清单，随货同行将合法发票送达甲方。甲方接收丙方配送的相关医用耗材后，应在收到合法发票后按规定通过采购平台进行发票交付确认。</w:t>
      </w:r>
    </w:p>
    <w:p w14:paraId="6BE5FD9B">
      <w:pPr>
        <w:pStyle w:val="6"/>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3.结算时间：甲方为货款结算第一责任人，应按合同规定与丙方及时结算，结清时间不得超过交货验收合格后次月底。</w:t>
      </w:r>
    </w:p>
    <w:p w14:paraId="756A45C8">
      <w:pPr>
        <w:keepNext w:val="0"/>
        <w:keepLines w:val="0"/>
        <w:pageBreakBefore w:val="0"/>
        <w:widowControl w:val="0"/>
        <w:numPr>
          <w:ilvl w:val="255"/>
          <w:numId w:val="0"/>
        </w:numPr>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4.采购平台在当期应付货款到期前7日对甲方发出缴款提醒通知，告知其应付货款的最后支付时间。</w:t>
      </w:r>
    </w:p>
    <w:p w14:paraId="09E83C2E">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第十条 退换货及召回</w:t>
      </w:r>
    </w:p>
    <w:p w14:paraId="535A9018">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1.若因相关医用耗材的质量问题，损坏或变质发生甲方退换货的情况，乙方应无条件退换货并承担由此产生的一切费用，所导致的所有纠纷及赔偿由乙方承担责任。乙方承诺赔偿甲方由此造成的所有损失。</w:t>
      </w:r>
    </w:p>
    <w:p w14:paraId="39D59A6E">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2.乙方供货符合质量验收的标准。甲方收货的当天，若相关医用耗材的剩余有效期不足6个月的，甲方在收货后的5个工作日内有权要求作出退货或换货，向丙方或通过丙方向乙方行使此项权利。</w:t>
      </w:r>
    </w:p>
    <w:p w14:paraId="1DAAA0FE">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3.对由于不动销或滞销而出现的近效期相关医用耗材，甲方可向丙方或通过丙方向乙方就未销售的相关医用耗材进行协商处理。 </w:t>
      </w:r>
    </w:p>
    <w:p w14:paraId="082630CE">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经甲、丙双方合同约定或协商，在发生甲方退货情形时，由于退货产生的退货货款，甲方已经支付退货货款的，甲方可以要求丙方即时向其归还该款，也可将此货款冲抵下一次供货产生的货款；甲方尚未支付退货货款的，甲方不承担继续支付的责任。</w:t>
      </w:r>
    </w:p>
    <w:p w14:paraId="401EB954">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5.在本合同履行过程中，若乙方自行或者根据相关职能部门的要求召回相关医用耗材时，乙方应当及时通知甲方，作出相应说明。乙方应向甲方提供必要的协助配合，且召回中所产生的费用及所导致的所有纠纷、赔偿均由乙方承担。 </w:t>
      </w:r>
    </w:p>
    <w:p w14:paraId="459B7853">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6.乙方在最终召回日期后的5个工作日内，根据实际召回数量向丙方、甲方归还货款。在此之后仍有相关医用耗材被召回的，乙方应按上述约定承担同样的责任。</w:t>
      </w:r>
    </w:p>
    <w:p w14:paraId="09C59079">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7</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退换货召回情形下，乙方、丙方应承担逾期供货违约责任。</w:t>
      </w:r>
    </w:p>
    <w:p w14:paraId="2D3224BB">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第十一条 知识产权及商业秘密保护</w:t>
      </w:r>
    </w:p>
    <w:p w14:paraId="03EA2602">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1.甲、乙、丙三方均不得利用履行本合同所形成的便利条件，侵害各方的知识产权，该知识产权具体包括但不限于专利权、专有技术，商标权以及企业名称权等。</w:t>
      </w:r>
    </w:p>
    <w:p w14:paraId="34F8665D">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2.甲、乙、丙三方应恪守商业秘密保护的责任，未经对方事前书面同意，不得擅自使用或对外披露对方的商业秘密。</w:t>
      </w:r>
    </w:p>
    <w:p w14:paraId="46413C9E">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乙方应保证相关医用耗材不存在专利权、商标权等知识产权方面的争议，如与第三方产生争议，甲方有权解除本协议、终止对乙方医用耗材的采购且不承担违约责任，乙方自行处理和承担责任。如因乙方产品侵犯第三方权利导致甲方因此而遭致损失的，乙方应全额赔偿甲方的损失。</w:t>
      </w:r>
    </w:p>
    <w:p w14:paraId="10B955F6">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
          <w:bCs/>
          <w:color w:val="auto"/>
          <w:sz w:val="30"/>
          <w:szCs w:val="30"/>
          <w:highlight w:val="none"/>
        </w:rPr>
        <w:t>第十二条 违约责任</w:t>
      </w:r>
    </w:p>
    <w:p w14:paraId="2F9ED3D1">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1.甲方如出现下列行为，应按照《中华人民共和国民法典》的规定承担违约责任:</w:t>
      </w:r>
    </w:p>
    <w:p w14:paraId="2067003E">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（1）甲方违反本合同约定，无正当理由拒绝接收丙方配送的医用耗材；</w:t>
      </w:r>
    </w:p>
    <w:p w14:paraId="5E1FD934">
      <w:pPr>
        <w:keepNext w:val="0"/>
        <w:keepLines w:val="0"/>
        <w:pageBreakBefore w:val="0"/>
        <w:widowControl w:val="0"/>
        <w:numPr>
          <w:ilvl w:val="255"/>
          <w:numId w:val="0"/>
        </w:numPr>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（2）甲方违反本合同约定，在合同有效期内不采购约定医用耗材，以及不履行本合同附件所列的采购量的；</w:t>
      </w:r>
    </w:p>
    <w:p w14:paraId="5B12943D">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（3）甲方未按照本合同约定按时结算货款；</w:t>
      </w:r>
    </w:p>
    <w:p w14:paraId="3CF8C50D">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（4）其他违反本合同约定的行为。</w:t>
      </w:r>
    </w:p>
    <w:p w14:paraId="27D5B94B">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2.乙方如出现下列行为，应按照《中华人民共和国民法典》的规定承担违约责任：</w:t>
      </w:r>
    </w:p>
    <w:p w14:paraId="7ADBB002">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（1）所供医用耗材不符合本合同约定的质量标准；</w:t>
      </w:r>
    </w:p>
    <w:p w14:paraId="7DF75C13">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（2）未按照本合同约定及时进行退换货、召回；</w:t>
      </w:r>
    </w:p>
    <w:p w14:paraId="5678EDB1">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（3）未按照本合同约定及时足量供应医用耗材；</w:t>
      </w:r>
    </w:p>
    <w:p w14:paraId="0B8D0809">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（4）其他违反本合同约定的行为。</w:t>
      </w:r>
    </w:p>
    <w:p w14:paraId="12A2277E">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3.丙方如出现下列行为，应按照《中华人民共和国民法典》的规定承担违约责任，且乙、丙双方互为连带责任：</w:t>
      </w:r>
    </w:p>
    <w:p w14:paraId="136C3DB1">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（1）违反本合同约定，不及时、不足量或拒绝供货；</w:t>
      </w:r>
    </w:p>
    <w:p w14:paraId="4E69D11F">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（2）运输不善或配送迟延等原因，导致相关医用耗材在配送过程中发生损坏或变质；</w:t>
      </w:r>
    </w:p>
    <w:p w14:paraId="112D20C1">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（3）其他违反本合同约定的行为。</w:t>
      </w:r>
    </w:p>
    <w:p w14:paraId="1DB8E338">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4.任何一方违反本合同导致本合同无法继续履行的，违约方应赔偿违约行为对守约方造成的所有实际损失。当出现货款逾期支付或退还货款逾期、供货逾期的情形时，违约方应向守约方支付逾期违约金：</w:t>
      </w:r>
    </w:p>
    <w:p w14:paraId="72336488">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（1）逾期在10日（含）以内的，每日应按未付款项的0.1‰向守约方支付违约金；</w:t>
      </w:r>
    </w:p>
    <w:p w14:paraId="372E793B">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（2）逾期在10日以上30日（含）以内的，每日应按未付款项的0.3‰向守约方支付违约金；</w:t>
      </w:r>
    </w:p>
    <w:p w14:paraId="6828554D">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（3）逾期超过30日的，每日应按未付款项的0.8‰向守约方支付违约金；</w:t>
      </w:r>
    </w:p>
    <w:p w14:paraId="241EC179">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（4）违约金的支付并不免除或减轻违约方继续履行合同的义务。 </w:t>
      </w:r>
    </w:p>
    <w:p w14:paraId="68964204">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第十三条 不可抗力</w:t>
      </w:r>
    </w:p>
    <w:p w14:paraId="0AB9B13B">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color w:val="auto"/>
          <w:sz w:val="30"/>
          <w:szCs w:val="30"/>
          <w:highlight w:val="none"/>
        </w:rPr>
        <w:t>1.在</w:t>
      </w:r>
      <w:r>
        <w:rPr>
          <w:rFonts w:hint="eastAsia" w:ascii="仿宋_GB2312" w:hAnsi="仿宋_GB2312" w:eastAsia="仿宋_GB2312" w:cs="仿宋_GB2312"/>
          <w:color w:val="auto"/>
          <w:sz w:val="30"/>
          <w:szCs w:val="30"/>
          <w:highlight w:val="none"/>
          <w:lang w:eastAsia="zh-CN"/>
        </w:rPr>
        <w:t>协议期</w:t>
      </w:r>
      <w:r>
        <w:rPr>
          <w:rFonts w:hint="eastAsia" w:ascii="仿宋_GB2312" w:hAnsi="仿宋_GB2312" w:eastAsia="仿宋_GB2312" w:cs="仿宋_GB2312"/>
          <w:color w:val="auto"/>
          <w:sz w:val="30"/>
          <w:szCs w:val="30"/>
          <w:highlight w:val="none"/>
        </w:rPr>
        <w:t>内，若国家和省有新规定的，从其规定。</w:t>
      </w:r>
    </w:p>
    <w:p w14:paraId="4E0F2E6F">
      <w:pPr>
        <w:keepNext w:val="0"/>
        <w:keepLines w:val="0"/>
        <w:pageBreakBefore w:val="0"/>
        <w:widowControl w:val="0"/>
        <w:numPr>
          <w:ilvl w:val="255"/>
          <w:numId w:val="0"/>
        </w:numPr>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按照国家和省的新规定重新签订统一购销合同的，关闭政策涉及品种历史购销合同的采购下单功能。新购销合同签订后，甲方和乙方不得再订立背离新购销合同实质性内容的其它购销合同或提出除新购销合同之外的任何利益性要求。</w:t>
      </w:r>
    </w:p>
    <w:p w14:paraId="11410162">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3.甲、乙、丙三方因国家和省政策调整或不可抗力而导致关闭涉及政策调整品种的采购下单功能、合同实施延误或不能履行合同义务的，不应承担误期赔偿或终止合同的责任。</w:t>
      </w:r>
    </w:p>
    <w:p w14:paraId="388EE5B4">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4.本条所述的“不可抗力”系指合同各方无法控制、不可预见的事件，但不包括合同某一方的违约或疏忽。这些事件包括但不限于：战争、严重火灾、洪水、台风、地震及其他交易各方商定的事件。</w:t>
      </w:r>
    </w:p>
    <w:p w14:paraId="74F06911">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5.在国家和省政策调整或不可抗力事件发生后，合同一方应尽快以书面形式将国家和省政策调整或不可抗力的情况和原因通知其他方。除另行要求外，合同当事人应尽实际可能继续履行合同义务，以及寻求采取合理的方案履行不受国家和省政策调整或不可抗力影响的其他事项。国家和省政策调整或不可抗力事件影响消除后，合同当事人可通过协商在合理的时间内达成进一步履行合同的协议。</w:t>
      </w:r>
    </w:p>
    <w:p w14:paraId="12487316">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第十四条 合同的变更和解除</w:t>
      </w:r>
    </w:p>
    <w:p w14:paraId="7E10B777">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1.甲、乙、丙任何一方严重违约，造成本合同无法继续履行或不能实现合同目的，任一守约方有权解除本合同的履行。</w:t>
      </w:r>
    </w:p>
    <w:p w14:paraId="1418F875">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2.甲、乙、丙任何一方丧失必要的经营资质，不能再从事医用耗材生产或经营活动的，或严重资不抵债的，或无能力的/或承认其无能力清偿到期债务的，任一守约方有权解除本合同的履行。 </w:t>
      </w:r>
    </w:p>
    <w:p w14:paraId="2B6A5FB6">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3.在国家和省政策、价格调整或不可抗力发生的情况下，甲、乙、丙三方可根据情况变更或解除本合同的履行。 </w:t>
      </w:r>
    </w:p>
    <w:p w14:paraId="49538377">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4.合同变更和解除前已经开始履行但尚未履行完毕的部分，除法律法规有明确规定不能继续履行的，甲、乙、丙三方应继续履行至结束。 </w:t>
      </w:r>
    </w:p>
    <w:p w14:paraId="5BA5902D">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第十五条 争议的解决</w:t>
      </w:r>
    </w:p>
    <w:p w14:paraId="1C8C16E2">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1.在本合同履行过程中发生任何争议，甲、乙、丙三方应友好协商解决，协商不成的，三方同意将争议提交甲方所在地有管辖权的人民法院管辖。</w:t>
      </w:r>
    </w:p>
    <w:p w14:paraId="0A1A055B">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2.本合同适用中华人民共和国法律法规。 </w:t>
      </w:r>
    </w:p>
    <w:p w14:paraId="4B8E5FD8">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第十六条 其他条款</w:t>
      </w:r>
    </w:p>
    <w:p w14:paraId="7A5956F2">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1.甲、乙、丙三方通过采购平台确认的订单为本合同的组成部分，具有同等法律效力。</w:t>
      </w:r>
    </w:p>
    <w:p w14:paraId="3F49F8AF">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本合同未尽事项，在与法律、法规等规定、交易规则不冲突的前提下，甲、乙、丙三方应友好协商，经三方书面同意可以对合同条款进行补充或修改，根据需要可另行签订补充协议作为本合同的附件，附件具有同等的法律效力。</w:t>
      </w:r>
    </w:p>
    <w:p w14:paraId="445A6F26">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3.本合同于</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rPr>
        <w:t>（省/广州/深圳）</w:t>
      </w:r>
      <w:r>
        <w:rPr>
          <w:rFonts w:hint="eastAsia" w:ascii="仿宋_GB2312" w:hAnsi="仿宋_GB2312" w:eastAsia="仿宋_GB2312" w:cs="仿宋_GB2312"/>
          <w:color w:val="auto"/>
          <w:sz w:val="30"/>
          <w:szCs w:val="30"/>
          <w:highlight w:val="none"/>
          <w:lang w:eastAsia="zh-CN"/>
        </w:rPr>
        <w:t>采购</w:t>
      </w:r>
      <w:r>
        <w:rPr>
          <w:rFonts w:hint="eastAsia" w:ascii="仿宋_GB2312" w:hAnsi="仿宋_GB2312" w:eastAsia="仿宋_GB2312" w:cs="仿宋_GB2312"/>
          <w:color w:val="auto"/>
          <w:sz w:val="30"/>
          <w:szCs w:val="30"/>
          <w:highlight w:val="none"/>
        </w:rPr>
        <w:t>平台签署，自甲方通过该采购平台创建发送合同，且乙方、丙方均通过该采购平台确认同意之日起成立并生效。</w:t>
      </w:r>
    </w:p>
    <w:p w14:paraId="123E7CA2">
      <w:pPr>
        <w:keepNext w:val="0"/>
        <w:keepLines w:val="0"/>
        <w:pageBreakBefore w:val="0"/>
        <w:widowControl w:val="0"/>
        <w:kinsoku/>
        <w:wordWrap/>
        <w:overflowPunct/>
        <w:topLinePunct w:val="0"/>
        <w:bidi w:val="0"/>
        <w:snapToGrid/>
        <w:spacing w:line="520" w:lineRule="exact"/>
        <w:ind w:left="0" w:leftChars="0" w:right="0" w:firstLine="602" w:firstLineChars="200"/>
        <w:jc w:val="both"/>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第十七条 特别约定</w:t>
      </w:r>
    </w:p>
    <w:p w14:paraId="04560DD9">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1.</w:t>
      </w:r>
      <w:r>
        <w:rPr>
          <w:rFonts w:hint="eastAsia" w:ascii="仿宋_GB2312" w:hAnsi="仿宋_GB2312" w:eastAsia="仿宋_GB2312" w:cs="仿宋_GB2312"/>
          <w:bCs/>
          <w:color w:val="auto"/>
          <w:kern w:val="2"/>
          <w:sz w:val="30"/>
          <w:szCs w:val="30"/>
          <w:highlight w:val="none"/>
          <w:u w:val="single"/>
        </w:rPr>
        <w:t>《广东省血流导向密网支架类医用耗材带量联动采购文件》</w:t>
      </w:r>
      <w:r>
        <w:rPr>
          <w:rFonts w:hint="eastAsia" w:ascii="仿宋_GB2312" w:hAnsi="仿宋_GB2312" w:eastAsia="仿宋_GB2312" w:cs="仿宋_GB2312"/>
          <w:bCs/>
          <w:color w:val="auto"/>
          <w:kern w:val="2"/>
          <w:sz w:val="30"/>
          <w:szCs w:val="30"/>
          <w:highlight w:val="none"/>
          <w:u w:val="single"/>
          <w:lang w:eastAsia="zh-CN"/>
        </w:rPr>
        <w:t>（</w:t>
      </w:r>
      <w:r>
        <w:rPr>
          <w:rFonts w:hint="eastAsia" w:ascii="仿宋_GB2312" w:hAnsi="仿宋_GB2312" w:eastAsia="仿宋_GB2312" w:cs="仿宋_GB2312"/>
          <w:bCs/>
          <w:color w:val="auto"/>
          <w:kern w:val="2"/>
          <w:sz w:val="30"/>
          <w:szCs w:val="30"/>
          <w:highlight w:val="none"/>
          <w:u w:val="single"/>
          <w:lang w:val="en-US" w:eastAsia="zh-CN"/>
        </w:rPr>
        <w:t>采购文件编号：SZGGZYHCDL202501</w:t>
      </w:r>
      <w:r>
        <w:rPr>
          <w:rFonts w:hint="eastAsia" w:ascii="仿宋_GB2312" w:hAnsi="仿宋_GB2312" w:eastAsia="仿宋_GB2312" w:cs="仿宋_GB2312"/>
          <w:bCs/>
          <w:color w:val="auto"/>
          <w:kern w:val="2"/>
          <w:sz w:val="30"/>
          <w:szCs w:val="30"/>
          <w:highlight w:val="none"/>
          <w:u w:val="single"/>
          <w:lang w:eastAsia="zh-CN"/>
        </w:rPr>
        <w:t>）</w:t>
      </w:r>
      <w:r>
        <w:rPr>
          <w:rFonts w:hint="eastAsia" w:ascii="仿宋_GB2312" w:hAnsi="仿宋_GB2312" w:eastAsia="仿宋_GB2312" w:cs="仿宋_GB2312"/>
          <w:bCs/>
          <w:color w:val="auto"/>
          <w:sz w:val="30"/>
          <w:szCs w:val="30"/>
          <w:highlight w:val="none"/>
        </w:rPr>
        <w:t>、乙方的申报材料</w:t>
      </w:r>
      <w:r>
        <w:rPr>
          <w:rFonts w:hint="eastAsia" w:ascii="仿宋_GB2312" w:hAnsi="仿宋_GB2312" w:eastAsia="仿宋_GB2312" w:cs="仿宋_GB2312"/>
          <w:color w:val="auto"/>
          <w:sz w:val="30"/>
          <w:szCs w:val="30"/>
          <w:highlight w:val="none"/>
          <w:u w:val="single"/>
        </w:rPr>
        <w:t>（含《</w:t>
      </w:r>
      <w:r>
        <w:rPr>
          <w:rFonts w:hint="eastAsia" w:ascii="仿宋_GB2312" w:hAnsi="仿宋_GB2312" w:eastAsia="仿宋_GB2312" w:cs="仿宋_GB2312"/>
          <w:color w:val="auto"/>
          <w:sz w:val="30"/>
          <w:szCs w:val="30"/>
          <w:highlight w:val="none"/>
          <w:u w:val="single"/>
          <w:lang w:eastAsia="zh-CN"/>
        </w:rPr>
        <w:t>广东省血流导向密网支架类医用耗材带量联动</w:t>
      </w:r>
      <w:r>
        <w:rPr>
          <w:rFonts w:hint="eastAsia" w:ascii="仿宋_GB2312" w:hAnsi="仿宋_GB2312" w:eastAsia="仿宋_GB2312" w:cs="仿宋_GB2312"/>
          <w:color w:val="auto"/>
          <w:sz w:val="30"/>
          <w:szCs w:val="30"/>
          <w:highlight w:val="none"/>
          <w:u w:val="single"/>
        </w:rPr>
        <w:t>申报函》《医药企业价格和营销行为信用承诺书》</w:t>
      </w:r>
      <w:r>
        <w:rPr>
          <w:rFonts w:hint="eastAsia" w:ascii="仿宋_GB2312" w:hAnsi="仿宋_GB2312" w:eastAsia="仿宋_GB2312" w:cs="仿宋_GB2312"/>
          <w:color w:val="auto"/>
          <w:sz w:val="30"/>
          <w:szCs w:val="30"/>
          <w:highlight w:val="none"/>
          <w:u w:val="single"/>
          <w:lang w:eastAsia="zh-CN"/>
        </w:rPr>
        <w:t>）</w:t>
      </w:r>
      <w:r>
        <w:rPr>
          <w:rFonts w:hint="eastAsia" w:ascii="仿宋_GB2312" w:hAnsi="仿宋_GB2312" w:eastAsia="仿宋_GB2312" w:cs="仿宋_GB2312"/>
          <w:bCs/>
          <w:color w:val="auto"/>
          <w:sz w:val="30"/>
          <w:szCs w:val="30"/>
          <w:highlight w:val="none"/>
        </w:rPr>
        <w:t>为本合同的有效组成部分，本合同各方应遵照执行。</w:t>
      </w:r>
    </w:p>
    <w:p w14:paraId="5CBCBCFC">
      <w:pPr>
        <w:keepNext w:val="0"/>
        <w:keepLines w:val="0"/>
        <w:pageBreakBefore w:val="0"/>
        <w:widowControl w:val="0"/>
        <w:numPr>
          <w:ilvl w:val="255"/>
          <w:numId w:val="0"/>
        </w:numPr>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2.乙方、丙方如出现违反本合同约定的，按照《中华人民共和国民法典》的规定承担违约责任，并自愿承诺2年内不再参加国家/省级</w:t>
      </w:r>
      <w:r>
        <w:rPr>
          <w:rFonts w:hint="eastAsia" w:ascii="仿宋_GB2312" w:hAnsi="仿宋_GB2312" w:eastAsia="仿宋_GB2312" w:cs="仿宋_GB2312"/>
          <w:bCs/>
          <w:color w:val="auto"/>
          <w:sz w:val="30"/>
          <w:szCs w:val="30"/>
          <w:highlight w:val="none"/>
          <w:lang w:val="en-US" w:eastAsia="zh-CN"/>
        </w:rPr>
        <w:t>相关医用耗材的</w:t>
      </w:r>
      <w:r>
        <w:rPr>
          <w:rFonts w:hint="eastAsia" w:ascii="仿宋_GB2312" w:hAnsi="仿宋_GB2312" w:eastAsia="仿宋_GB2312" w:cs="仿宋_GB2312"/>
          <w:bCs/>
          <w:color w:val="auto"/>
          <w:sz w:val="30"/>
          <w:szCs w:val="30"/>
          <w:highlight w:val="none"/>
        </w:rPr>
        <w:t>集中带量采购活动。</w:t>
      </w:r>
    </w:p>
    <w:p w14:paraId="7EF30B5A">
      <w:pPr>
        <w:keepNext w:val="0"/>
        <w:keepLines w:val="0"/>
        <w:pageBreakBefore w:val="0"/>
        <w:widowControl w:val="0"/>
        <w:numPr>
          <w:ilvl w:val="255"/>
          <w:numId w:val="0"/>
        </w:numPr>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3.如乙方或丙方委托提供代理服务的法人和自然人，因涉及乙方</w:t>
      </w:r>
      <w:r>
        <w:rPr>
          <w:rFonts w:hint="eastAsia" w:ascii="仿宋_GB2312" w:hAnsi="仿宋_GB2312" w:eastAsia="仿宋_GB2312" w:cs="仿宋_GB2312"/>
          <w:color w:val="auto"/>
          <w:sz w:val="30"/>
          <w:szCs w:val="30"/>
          <w:highlight w:val="none"/>
        </w:rPr>
        <w:t>医用耗材</w:t>
      </w:r>
      <w:r>
        <w:rPr>
          <w:rFonts w:hint="eastAsia" w:ascii="仿宋_GB2312" w:hAnsi="仿宋_GB2312" w:eastAsia="仿宋_GB2312" w:cs="仿宋_GB2312"/>
          <w:bCs/>
          <w:color w:val="auto"/>
          <w:sz w:val="30"/>
          <w:szCs w:val="30"/>
          <w:highlight w:val="none"/>
        </w:rPr>
        <w:t>的回扣等医药商业贿赂行为，乙方或丙方承诺承担失信违约责任，即根据《国家医疗保障局关于建立医药价格和招采信用评价制度的通知（医保发〔2020〕34号）》《医药价格和招采信用评价的操作规范（2020版）》《医药价格和招采信用评级的裁量基准（2020版）》及价格招采信用评价制度系列应用指南等相关规定，接受相应的评级处置措施。</w:t>
      </w:r>
    </w:p>
    <w:p w14:paraId="5AAD0B63">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4.甲方在采购期内，按协议采购量以季度填报采购计划，上下可浮动20%；没有填报采购计划的，系统将默认按“每季度订单采购量=年度协议采购量/4”（向上取整）计算自动生成每季度订单采购量。乙方、丙方应按此计划订单采购量保障供应，若存在违约的按照相关规定予以惩戒，若双方同意按超过计划订单量供应或采购以及特殊情况的，由甲乙丙三方另行协商解决。</w:t>
      </w:r>
    </w:p>
    <w:p w14:paraId="7AD6E076">
      <w:pPr>
        <w:keepNext w:val="0"/>
        <w:keepLines w:val="0"/>
        <w:pageBreakBefore w:val="0"/>
        <w:widowControl w:val="0"/>
        <w:kinsoku/>
        <w:wordWrap/>
        <w:overflowPunct/>
        <w:topLinePunct w:val="0"/>
        <w:bidi w:val="0"/>
        <w:snapToGrid/>
        <w:spacing w:line="520" w:lineRule="exact"/>
        <w:ind w:left="0" w:leftChars="0" w:right="0" w:firstLine="600" w:firstLineChars="200"/>
        <w:jc w:val="both"/>
        <w:textAlignment w:val="auto"/>
        <w:rPr>
          <w:rFonts w:hint="eastAsia" w:ascii="仿宋_GB2312" w:hAnsi="仿宋_GB2312" w:eastAsia="仿宋_GB2312" w:cs="仿宋_GB2312"/>
          <w:bCs/>
          <w:color w:val="auto"/>
          <w:sz w:val="30"/>
          <w:szCs w:val="30"/>
          <w:highlight w:val="none"/>
        </w:rPr>
      </w:pPr>
    </w:p>
    <w:p w14:paraId="29BB347A">
      <w:pPr>
        <w:pStyle w:val="18"/>
        <w:rPr>
          <w:rFonts w:hint="eastAsia"/>
          <w:color w:val="auto"/>
          <w:highlight w:val="none"/>
        </w:rPr>
      </w:pPr>
    </w:p>
    <w:p w14:paraId="7C00B1DC">
      <w:pPr>
        <w:keepNext w:val="0"/>
        <w:keepLines w:val="0"/>
        <w:pageBreakBefore w:val="0"/>
        <w:widowControl w:val="0"/>
        <w:kinsoku/>
        <w:wordWrap/>
        <w:overflowPunct/>
        <w:topLinePunct w:val="0"/>
        <w:bidi w:val="0"/>
        <w:snapToGrid/>
        <w:ind w:firstLine="480" w:firstLineChars="200"/>
        <w:textAlignment w:val="auto"/>
        <w:rPr>
          <w:rFonts w:ascii="Times New Roman" w:hAnsi="Times New Roman" w:eastAsia="仿宋"/>
          <w:bCs/>
          <w:color w:val="auto"/>
          <w:sz w:val="24"/>
          <w:szCs w:val="24"/>
          <w:highlight w:val="none"/>
        </w:rPr>
        <w:sectPr>
          <w:headerReference r:id="rId11" w:type="default"/>
          <w:footerReference r:id="rId12" w:type="default"/>
          <w:pgSz w:w="11906" w:h="16838"/>
          <w:pgMar w:top="1440" w:right="1689" w:bottom="1327" w:left="1689" w:header="1134" w:footer="992" w:gutter="0"/>
          <w:pgNumType w:fmt="decimal" w:start="1"/>
          <w:cols w:space="720" w:num="1"/>
          <w:docGrid w:type="lines" w:linePitch="312" w:charSpace="0"/>
        </w:sectPr>
      </w:pPr>
    </w:p>
    <w:p w14:paraId="614D3037">
      <w:pPr>
        <w:rPr>
          <w:rFonts w:ascii="Times New Roman" w:hAnsi="Times New Roman" w:eastAsia="黑体"/>
          <w:color w:val="auto"/>
          <w:highlight w:val="none"/>
        </w:rPr>
      </w:pPr>
      <w:r>
        <w:rPr>
          <w:rFonts w:hint="eastAsia" w:ascii="Times New Roman" w:hAnsi="Times New Roman" w:eastAsia="黑体"/>
          <w:color w:val="auto"/>
          <w:sz w:val="24"/>
          <w:highlight w:val="none"/>
          <w:lang w:val="en-US" w:eastAsia="zh-CN"/>
        </w:rPr>
        <w:t>合同</w:t>
      </w:r>
      <w:r>
        <w:rPr>
          <w:rFonts w:ascii="Times New Roman" w:hAnsi="Times New Roman" w:eastAsia="黑体"/>
          <w:color w:val="auto"/>
          <w:sz w:val="24"/>
          <w:highlight w:val="none"/>
        </w:rPr>
        <w:t>附件</w:t>
      </w:r>
    </w:p>
    <w:p w14:paraId="0C9B8769">
      <w:pPr>
        <w:spacing w:line="600" w:lineRule="exact"/>
        <w:jc w:val="center"/>
        <w:outlineLvl w:val="9"/>
        <w:rPr>
          <w:rFonts w:ascii="方正小标宋简体" w:hAnsi="Times New Roman" w:eastAsia="方正小标宋简体"/>
          <w:b w:val="0"/>
          <w:bCs w:val="0"/>
          <w:color w:val="auto"/>
          <w:sz w:val="32"/>
          <w:szCs w:val="32"/>
          <w:highlight w:val="none"/>
        </w:rPr>
      </w:pPr>
      <w:bookmarkStart w:id="489" w:name="_Toc23391"/>
      <w:bookmarkStart w:id="490" w:name="_Toc6065"/>
      <w:bookmarkStart w:id="491" w:name="_Toc16065"/>
      <w:bookmarkStart w:id="492" w:name="_Toc10914"/>
      <w:r>
        <w:rPr>
          <w:rFonts w:hint="eastAsia" w:ascii="方正小标宋简体" w:hAnsi="Times New Roman" w:eastAsia="方正小标宋简体"/>
          <w:b w:val="0"/>
          <w:bCs w:val="0"/>
          <w:color w:val="auto"/>
          <w:sz w:val="32"/>
          <w:szCs w:val="32"/>
          <w:highlight w:val="none"/>
        </w:rPr>
        <w:t>医用耗材采购明细表</w:t>
      </w:r>
      <w:bookmarkEnd w:id="489"/>
      <w:bookmarkEnd w:id="490"/>
      <w:bookmarkEnd w:id="491"/>
      <w:bookmarkEnd w:id="492"/>
    </w:p>
    <w:tbl>
      <w:tblPr>
        <w:tblStyle w:val="15"/>
        <w:tblW w:w="16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764"/>
        <w:gridCol w:w="585"/>
        <w:gridCol w:w="600"/>
        <w:gridCol w:w="660"/>
        <w:gridCol w:w="915"/>
        <w:gridCol w:w="660"/>
        <w:gridCol w:w="1905"/>
        <w:gridCol w:w="1200"/>
        <w:gridCol w:w="1305"/>
        <w:gridCol w:w="1140"/>
        <w:gridCol w:w="705"/>
        <w:gridCol w:w="600"/>
        <w:gridCol w:w="1215"/>
        <w:gridCol w:w="1155"/>
        <w:gridCol w:w="1155"/>
        <w:gridCol w:w="1216"/>
      </w:tblGrid>
      <w:tr w14:paraId="0387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20" w:type="dxa"/>
            <w:vMerge w:val="restart"/>
            <w:tcBorders>
              <w:top w:val="single" w:color="auto" w:sz="4" w:space="0"/>
              <w:left w:val="single" w:color="auto" w:sz="4" w:space="0"/>
              <w:bottom w:val="single" w:color="auto" w:sz="4" w:space="0"/>
              <w:right w:val="single" w:color="auto" w:sz="4" w:space="0"/>
            </w:tcBorders>
            <w:vAlign w:val="center"/>
          </w:tcPr>
          <w:p w14:paraId="29B94CBE">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产品名称</w:t>
            </w:r>
          </w:p>
        </w:tc>
        <w:tc>
          <w:tcPr>
            <w:tcW w:w="764" w:type="dxa"/>
            <w:vMerge w:val="restart"/>
            <w:tcBorders>
              <w:top w:val="single" w:color="auto" w:sz="4" w:space="0"/>
              <w:left w:val="single" w:color="auto" w:sz="4" w:space="0"/>
              <w:bottom w:val="single" w:color="auto" w:sz="4" w:space="0"/>
              <w:right w:val="single" w:color="auto" w:sz="4" w:space="0"/>
            </w:tcBorders>
            <w:vAlign w:val="center"/>
          </w:tcPr>
          <w:p w14:paraId="7F586B37">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注册证名称</w:t>
            </w:r>
          </w:p>
        </w:tc>
        <w:tc>
          <w:tcPr>
            <w:tcW w:w="585" w:type="dxa"/>
            <w:vMerge w:val="restart"/>
            <w:tcBorders>
              <w:top w:val="single" w:color="auto" w:sz="4" w:space="0"/>
              <w:left w:val="single" w:color="auto" w:sz="4" w:space="0"/>
              <w:bottom w:val="single" w:color="auto" w:sz="4" w:space="0"/>
              <w:right w:val="single" w:color="auto" w:sz="4" w:space="0"/>
            </w:tcBorders>
            <w:vAlign w:val="center"/>
          </w:tcPr>
          <w:p w14:paraId="23981244">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规格</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14:paraId="52D72873">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型号</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14:paraId="6DD816B4">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注册证号</w:t>
            </w:r>
          </w:p>
        </w:tc>
        <w:tc>
          <w:tcPr>
            <w:tcW w:w="915" w:type="dxa"/>
            <w:vMerge w:val="restart"/>
            <w:tcBorders>
              <w:top w:val="single" w:color="auto" w:sz="4" w:space="0"/>
              <w:left w:val="single" w:color="auto" w:sz="4" w:space="0"/>
              <w:right w:val="single" w:color="auto" w:sz="4" w:space="0"/>
            </w:tcBorders>
            <w:vAlign w:val="center"/>
          </w:tcPr>
          <w:p w14:paraId="2F9A43A9">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最小零售包装规格</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14:paraId="525E7AB2">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生产企业</w:t>
            </w:r>
          </w:p>
        </w:tc>
        <w:tc>
          <w:tcPr>
            <w:tcW w:w="1905" w:type="dxa"/>
            <w:vMerge w:val="restart"/>
            <w:tcBorders>
              <w:top w:val="single" w:color="auto" w:sz="4" w:space="0"/>
              <w:left w:val="single" w:color="auto" w:sz="4" w:space="0"/>
              <w:right w:val="single" w:color="auto" w:sz="4" w:space="0"/>
            </w:tcBorders>
            <w:vAlign w:val="center"/>
          </w:tcPr>
          <w:p w14:paraId="2EE9C349">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bidi="ar"/>
              </w:rPr>
              <w:t>产品属性（</w:t>
            </w:r>
            <w:r>
              <w:rPr>
                <w:rFonts w:hint="eastAsia" w:ascii="仿宋_GB2312" w:hAnsi="仿宋_GB2312" w:eastAsia="仿宋_GB2312" w:cs="仿宋_GB2312"/>
                <w:color w:val="auto"/>
                <w:sz w:val="18"/>
                <w:szCs w:val="18"/>
                <w:highlight w:val="none"/>
                <w:lang w:val="en-US" w:eastAsia="zh-CN" w:bidi="ar"/>
              </w:rPr>
              <w:t>中选</w:t>
            </w:r>
            <w:r>
              <w:rPr>
                <w:rFonts w:hint="eastAsia" w:ascii="仿宋_GB2312" w:hAnsi="仿宋_GB2312" w:eastAsia="仿宋_GB2312" w:cs="仿宋_GB2312"/>
                <w:color w:val="auto"/>
                <w:sz w:val="18"/>
                <w:szCs w:val="18"/>
                <w:highlight w:val="none"/>
                <w:lang w:bidi="ar"/>
              </w:rPr>
              <w:t>/非中选）</w:t>
            </w:r>
          </w:p>
        </w:tc>
        <w:tc>
          <w:tcPr>
            <w:tcW w:w="1200" w:type="dxa"/>
            <w:vMerge w:val="restart"/>
            <w:tcBorders>
              <w:top w:val="single" w:color="auto" w:sz="4" w:space="0"/>
              <w:left w:val="single" w:color="auto" w:sz="4" w:space="0"/>
              <w:bottom w:val="single" w:color="auto" w:sz="4" w:space="0"/>
              <w:right w:val="single" w:color="auto" w:sz="4" w:space="0"/>
            </w:tcBorders>
            <w:vAlign w:val="center"/>
          </w:tcPr>
          <w:p w14:paraId="140F81E5">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最小使用单位成交价格（元）</w:t>
            </w:r>
          </w:p>
        </w:tc>
        <w:tc>
          <w:tcPr>
            <w:tcW w:w="1305" w:type="dxa"/>
            <w:vMerge w:val="restart"/>
            <w:tcBorders>
              <w:top w:val="single" w:color="auto" w:sz="4" w:space="0"/>
              <w:left w:val="single" w:color="auto" w:sz="4" w:space="0"/>
              <w:bottom w:val="single" w:color="auto" w:sz="4" w:space="0"/>
              <w:right w:val="single" w:color="auto" w:sz="4" w:space="0"/>
            </w:tcBorders>
            <w:vAlign w:val="center"/>
          </w:tcPr>
          <w:p w14:paraId="38CD1937">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最小零售包装单位成交价格（元）</w:t>
            </w:r>
          </w:p>
        </w:tc>
        <w:tc>
          <w:tcPr>
            <w:tcW w:w="1140" w:type="dxa"/>
            <w:vMerge w:val="restart"/>
            <w:tcBorders>
              <w:top w:val="single" w:color="auto" w:sz="4" w:space="0"/>
              <w:left w:val="single" w:color="auto" w:sz="4" w:space="0"/>
              <w:right w:val="single" w:color="auto" w:sz="4" w:space="0"/>
            </w:tcBorders>
            <w:vAlign w:val="center"/>
          </w:tcPr>
          <w:p w14:paraId="62ACFEAC">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采购量（以最小零售包装单位计）</w:t>
            </w:r>
          </w:p>
        </w:tc>
        <w:tc>
          <w:tcPr>
            <w:tcW w:w="705" w:type="dxa"/>
            <w:vMerge w:val="restart"/>
            <w:tcBorders>
              <w:top w:val="single" w:color="auto" w:sz="4" w:space="0"/>
              <w:left w:val="single" w:color="auto" w:sz="4" w:space="0"/>
              <w:bottom w:val="single" w:color="auto" w:sz="4" w:space="0"/>
              <w:right w:val="single" w:color="auto" w:sz="4" w:space="0"/>
            </w:tcBorders>
            <w:vAlign w:val="center"/>
          </w:tcPr>
          <w:p w14:paraId="0937AE16">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合计金额（元）</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14:paraId="301581FE">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采购期限</w:t>
            </w:r>
          </w:p>
        </w:tc>
        <w:tc>
          <w:tcPr>
            <w:tcW w:w="4741" w:type="dxa"/>
            <w:gridSpan w:val="4"/>
            <w:tcBorders>
              <w:top w:val="single" w:color="auto" w:sz="4" w:space="0"/>
              <w:left w:val="single" w:color="auto" w:sz="4" w:space="0"/>
              <w:bottom w:val="single" w:color="auto" w:sz="4" w:space="0"/>
              <w:right w:val="single" w:color="auto" w:sz="4" w:space="0"/>
            </w:tcBorders>
            <w:vAlign w:val="center"/>
          </w:tcPr>
          <w:p w14:paraId="30824096">
            <w:pPr>
              <w:keepNext w:val="0"/>
              <w:keepLines w:val="0"/>
              <w:suppressLineNumbers w:val="0"/>
              <w:spacing w:before="0" w:beforeAutospacing="0" w:after="0" w:afterAutospacing="0"/>
              <w:ind w:right="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每季度订单采购量=当年度协议采购量/4（向上取整）</w:t>
            </w:r>
          </w:p>
        </w:tc>
      </w:tr>
      <w:tr w14:paraId="349A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14:paraId="25405C8A">
            <w:pPr>
              <w:keepNext w:val="0"/>
              <w:keepLines w:val="0"/>
              <w:widowControl/>
              <w:suppressLineNumbers w:val="0"/>
              <w:spacing w:before="0" w:beforeAutospacing="0" w:after="0" w:afterAutospacing="0"/>
              <w:ind w:right="0" w:firstLine="360"/>
              <w:jc w:val="center"/>
              <w:rPr>
                <w:rFonts w:hint="eastAsia" w:ascii="仿宋_GB2312" w:hAnsi="仿宋_GB2312" w:eastAsia="仿宋_GB2312" w:cs="仿宋_GB2312"/>
                <w:color w:val="auto"/>
                <w:sz w:val="18"/>
                <w:szCs w:val="18"/>
                <w:highlight w:val="none"/>
              </w:rPr>
            </w:pPr>
          </w:p>
        </w:tc>
        <w:tc>
          <w:tcPr>
            <w:tcW w:w="764" w:type="dxa"/>
            <w:vMerge w:val="continue"/>
            <w:tcBorders>
              <w:top w:val="single" w:color="auto" w:sz="4" w:space="0"/>
              <w:left w:val="single" w:color="auto" w:sz="4" w:space="0"/>
              <w:bottom w:val="single" w:color="auto" w:sz="4" w:space="0"/>
              <w:right w:val="single" w:color="auto" w:sz="4" w:space="0"/>
            </w:tcBorders>
            <w:vAlign w:val="center"/>
          </w:tcPr>
          <w:p w14:paraId="24BD9470">
            <w:pPr>
              <w:keepNext w:val="0"/>
              <w:keepLines w:val="0"/>
              <w:widowControl/>
              <w:suppressLineNumbers w:val="0"/>
              <w:spacing w:before="0" w:beforeAutospacing="0" w:after="0" w:afterAutospacing="0"/>
              <w:ind w:right="0" w:firstLine="360"/>
              <w:jc w:val="center"/>
              <w:rPr>
                <w:rFonts w:hint="eastAsia" w:ascii="仿宋_GB2312" w:hAnsi="仿宋_GB2312" w:eastAsia="仿宋_GB2312" w:cs="仿宋_GB2312"/>
                <w:color w:val="auto"/>
                <w:sz w:val="18"/>
                <w:szCs w:val="18"/>
                <w:highlight w:val="none"/>
              </w:rPr>
            </w:pPr>
          </w:p>
        </w:tc>
        <w:tc>
          <w:tcPr>
            <w:tcW w:w="585" w:type="dxa"/>
            <w:vMerge w:val="continue"/>
            <w:tcBorders>
              <w:top w:val="single" w:color="auto" w:sz="4" w:space="0"/>
              <w:left w:val="single" w:color="auto" w:sz="4" w:space="0"/>
              <w:bottom w:val="single" w:color="auto" w:sz="4" w:space="0"/>
              <w:right w:val="single" w:color="auto" w:sz="4" w:space="0"/>
            </w:tcBorders>
            <w:vAlign w:val="center"/>
          </w:tcPr>
          <w:p w14:paraId="0C941E9B">
            <w:pPr>
              <w:keepNext w:val="0"/>
              <w:keepLines w:val="0"/>
              <w:widowControl/>
              <w:suppressLineNumbers w:val="0"/>
              <w:spacing w:before="0" w:beforeAutospacing="0" w:after="0" w:afterAutospacing="0"/>
              <w:ind w:right="0" w:firstLine="360"/>
              <w:jc w:val="center"/>
              <w:rPr>
                <w:rFonts w:hint="eastAsia" w:ascii="仿宋_GB2312" w:hAnsi="仿宋_GB2312" w:eastAsia="仿宋_GB2312" w:cs="仿宋_GB2312"/>
                <w:color w:val="auto"/>
                <w:sz w:val="18"/>
                <w:szCs w:val="18"/>
                <w:highlight w:val="none"/>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45B97629">
            <w:pPr>
              <w:keepNext w:val="0"/>
              <w:keepLines w:val="0"/>
              <w:widowControl/>
              <w:suppressLineNumbers w:val="0"/>
              <w:spacing w:before="0" w:beforeAutospacing="0" w:after="0" w:afterAutospacing="0"/>
              <w:ind w:right="0" w:firstLine="360"/>
              <w:jc w:val="center"/>
              <w:rPr>
                <w:rFonts w:hint="eastAsia" w:ascii="仿宋_GB2312" w:hAnsi="仿宋_GB2312" w:eastAsia="仿宋_GB2312" w:cs="仿宋_GB2312"/>
                <w:color w:val="auto"/>
                <w:sz w:val="18"/>
                <w:szCs w:val="18"/>
                <w:highlight w:val="none"/>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14:paraId="1D20C859">
            <w:pPr>
              <w:keepNext w:val="0"/>
              <w:keepLines w:val="0"/>
              <w:widowControl/>
              <w:suppressLineNumbers w:val="0"/>
              <w:spacing w:before="0" w:beforeAutospacing="0" w:after="0" w:afterAutospacing="0"/>
              <w:ind w:right="0" w:firstLine="360"/>
              <w:jc w:val="center"/>
              <w:rPr>
                <w:rFonts w:hint="eastAsia" w:ascii="仿宋_GB2312" w:hAnsi="仿宋_GB2312" w:eastAsia="仿宋_GB2312" w:cs="仿宋_GB2312"/>
                <w:color w:val="auto"/>
                <w:sz w:val="18"/>
                <w:szCs w:val="18"/>
                <w:highlight w:val="none"/>
              </w:rPr>
            </w:pPr>
          </w:p>
        </w:tc>
        <w:tc>
          <w:tcPr>
            <w:tcW w:w="915" w:type="dxa"/>
            <w:vMerge w:val="continue"/>
            <w:tcBorders>
              <w:left w:val="single" w:color="auto" w:sz="4" w:space="0"/>
              <w:bottom w:val="single" w:color="auto" w:sz="4" w:space="0"/>
              <w:right w:val="single" w:color="auto" w:sz="4" w:space="0"/>
            </w:tcBorders>
          </w:tcPr>
          <w:p w14:paraId="029DE2E0">
            <w:pPr>
              <w:keepNext w:val="0"/>
              <w:keepLines w:val="0"/>
              <w:widowControl/>
              <w:suppressLineNumbers w:val="0"/>
              <w:spacing w:before="0" w:beforeAutospacing="0" w:after="0" w:afterAutospacing="0"/>
              <w:ind w:right="0" w:firstLine="360"/>
              <w:jc w:val="center"/>
              <w:rPr>
                <w:rFonts w:hint="eastAsia" w:ascii="仿宋_GB2312" w:hAnsi="仿宋_GB2312" w:eastAsia="仿宋_GB2312" w:cs="仿宋_GB2312"/>
                <w:color w:val="auto"/>
                <w:sz w:val="18"/>
                <w:szCs w:val="18"/>
                <w:highlight w:val="none"/>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14:paraId="4C4F6140">
            <w:pPr>
              <w:keepNext w:val="0"/>
              <w:keepLines w:val="0"/>
              <w:widowControl/>
              <w:suppressLineNumbers w:val="0"/>
              <w:spacing w:before="0" w:beforeAutospacing="0" w:after="0" w:afterAutospacing="0"/>
              <w:ind w:right="0" w:firstLine="360"/>
              <w:jc w:val="center"/>
              <w:rPr>
                <w:rFonts w:hint="eastAsia" w:ascii="仿宋_GB2312" w:hAnsi="仿宋_GB2312" w:eastAsia="仿宋_GB2312" w:cs="仿宋_GB2312"/>
                <w:color w:val="auto"/>
                <w:sz w:val="18"/>
                <w:szCs w:val="18"/>
                <w:highlight w:val="none"/>
              </w:rPr>
            </w:pPr>
          </w:p>
        </w:tc>
        <w:tc>
          <w:tcPr>
            <w:tcW w:w="1905" w:type="dxa"/>
            <w:vMerge w:val="continue"/>
            <w:tcBorders>
              <w:left w:val="single" w:color="auto" w:sz="4" w:space="0"/>
              <w:bottom w:val="single" w:color="auto" w:sz="4" w:space="0"/>
              <w:right w:val="single" w:color="auto" w:sz="4" w:space="0"/>
            </w:tcBorders>
            <w:vAlign w:val="center"/>
          </w:tcPr>
          <w:p w14:paraId="02415498">
            <w:pPr>
              <w:keepNext w:val="0"/>
              <w:keepLines w:val="0"/>
              <w:widowControl/>
              <w:suppressLineNumbers w:val="0"/>
              <w:spacing w:before="0" w:beforeAutospacing="0" w:after="0" w:afterAutospacing="0"/>
              <w:ind w:right="0" w:firstLine="360"/>
              <w:jc w:val="center"/>
              <w:rPr>
                <w:rFonts w:hint="eastAsia" w:ascii="仿宋_GB2312" w:hAnsi="仿宋_GB2312" w:eastAsia="仿宋_GB2312" w:cs="仿宋_GB2312"/>
                <w:color w:val="auto"/>
                <w:sz w:val="18"/>
                <w:szCs w:val="18"/>
                <w:highlight w:val="none"/>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14:paraId="63B4BEB4">
            <w:pPr>
              <w:keepNext w:val="0"/>
              <w:keepLines w:val="0"/>
              <w:widowControl/>
              <w:suppressLineNumbers w:val="0"/>
              <w:spacing w:before="0" w:beforeAutospacing="0" w:after="0" w:afterAutospacing="0"/>
              <w:ind w:right="0" w:firstLine="360"/>
              <w:jc w:val="center"/>
              <w:rPr>
                <w:rFonts w:hint="eastAsia" w:ascii="仿宋_GB2312" w:hAnsi="仿宋_GB2312" w:eastAsia="仿宋_GB2312" w:cs="仿宋_GB2312"/>
                <w:color w:val="auto"/>
                <w:sz w:val="18"/>
                <w:szCs w:val="18"/>
                <w:highlight w:val="none"/>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35AA6232">
            <w:pPr>
              <w:keepNext w:val="0"/>
              <w:keepLines w:val="0"/>
              <w:widowControl/>
              <w:suppressLineNumbers w:val="0"/>
              <w:spacing w:before="0" w:beforeAutospacing="0" w:after="0" w:afterAutospacing="0"/>
              <w:ind w:right="0" w:firstLine="360"/>
              <w:jc w:val="center"/>
              <w:rPr>
                <w:rFonts w:hint="eastAsia" w:ascii="仿宋_GB2312" w:hAnsi="仿宋_GB2312" w:eastAsia="仿宋_GB2312" w:cs="仿宋_GB2312"/>
                <w:color w:val="auto"/>
                <w:sz w:val="18"/>
                <w:szCs w:val="18"/>
                <w:highlight w:val="none"/>
              </w:rPr>
            </w:pPr>
          </w:p>
        </w:tc>
        <w:tc>
          <w:tcPr>
            <w:tcW w:w="1140" w:type="dxa"/>
            <w:vMerge w:val="continue"/>
            <w:tcBorders>
              <w:left w:val="single" w:color="auto" w:sz="4" w:space="0"/>
              <w:bottom w:val="single" w:color="auto" w:sz="4" w:space="0"/>
              <w:right w:val="single" w:color="auto" w:sz="4" w:space="0"/>
            </w:tcBorders>
          </w:tcPr>
          <w:p w14:paraId="53AD9AF8">
            <w:pPr>
              <w:keepNext w:val="0"/>
              <w:keepLines w:val="0"/>
              <w:widowControl/>
              <w:suppressLineNumbers w:val="0"/>
              <w:spacing w:before="0" w:beforeAutospacing="0" w:after="0" w:afterAutospacing="0"/>
              <w:ind w:right="0" w:firstLine="360"/>
              <w:jc w:val="center"/>
              <w:rPr>
                <w:rFonts w:hint="eastAsia" w:ascii="仿宋_GB2312" w:hAnsi="仿宋_GB2312" w:eastAsia="仿宋_GB2312" w:cs="仿宋_GB2312"/>
                <w:color w:val="auto"/>
                <w:sz w:val="18"/>
                <w:szCs w:val="18"/>
                <w:highlight w:val="none"/>
              </w:rPr>
            </w:pPr>
          </w:p>
        </w:tc>
        <w:tc>
          <w:tcPr>
            <w:tcW w:w="705" w:type="dxa"/>
            <w:vMerge w:val="continue"/>
            <w:tcBorders>
              <w:top w:val="single" w:color="auto" w:sz="4" w:space="0"/>
              <w:left w:val="single" w:color="auto" w:sz="4" w:space="0"/>
              <w:bottom w:val="single" w:color="auto" w:sz="4" w:space="0"/>
              <w:right w:val="single" w:color="auto" w:sz="4" w:space="0"/>
            </w:tcBorders>
            <w:vAlign w:val="center"/>
          </w:tcPr>
          <w:p w14:paraId="6A034D07">
            <w:pPr>
              <w:keepNext w:val="0"/>
              <w:keepLines w:val="0"/>
              <w:widowControl/>
              <w:suppressLineNumbers w:val="0"/>
              <w:spacing w:before="0" w:beforeAutospacing="0" w:after="0" w:afterAutospacing="0"/>
              <w:ind w:right="0" w:firstLine="360"/>
              <w:jc w:val="center"/>
              <w:rPr>
                <w:rFonts w:hint="eastAsia" w:ascii="仿宋_GB2312" w:hAnsi="仿宋_GB2312" w:eastAsia="仿宋_GB2312" w:cs="仿宋_GB2312"/>
                <w:color w:val="auto"/>
                <w:sz w:val="18"/>
                <w:szCs w:val="18"/>
                <w:highlight w:val="none"/>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3027397D">
            <w:pPr>
              <w:keepNext w:val="0"/>
              <w:keepLines w:val="0"/>
              <w:widowControl/>
              <w:suppressLineNumbers w:val="0"/>
              <w:spacing w:before="0" w:beforeAutospacing="0" w:after="0" w:afterAutospacing="0"/>
              <w:ind w:right="0" w:firstLine="360"/>
              <w:jc w:val="center"/>
              <w:rPr>
                <w:rFonts w:hint="eastAsia" w:ascii="仿宋_GB2312" w:hAnsi="仿宋_GB2312" w:eastAsia="仿宋_GB2312" w:cs="仿宋_GB2312"/>
                <w:color w:val="auto"/>
                <w:sz w:val="18"/>
                <w:szCs w:val="18"/>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391F0812">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第1季度</w:t>
            </w:r>
          </w:p>
        </w:tc>
        <w:tc>
          <w:tcPr>
            <w:tcW w:w="1155" w:type="dxa"/>
            <w:tcBorders>
              <w:top w:val="single" w:color="auto" w:sz="4" w:space="0"/>
              <w:left w:val="single" w:color="auto" w:sz="4" w:space="0"/>
              <w:bottom w:val="single" w:color="auto" w:sz="4" w:space="0"/>
              <w:right w:val="single" w:color="auto" w:sz="4" w:space="0"/>
            </w:tcBorders>
            <w:vAlign w:val="center"/>
          </w:tcPr>
          <w:p w14:paraId="6E8D23AC">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第2季度</w:t>
            </w:r>
          </w:p>
        </w:tc>
        <w:tc>
          <w:tcPr>
            <w:tcW w:w="1155" w:type="dxa"/>
            <w:tcBorders>
              <w:top w:val="single" w:color="auto" w:sz="4" w:space="0"/>
              <w:left w:val="single" w:color="auto" w:sz="4" w:space="0"/>
              <w:bottom w:val="single" w:color="auto" w:sz="4" w:space="0"/>
              <w:right w:val="single" w:color="auto" w:sz="4" w:space="0"/>
            </w:tcBorders>
            <w:vAlign w:val="center"/>
          </w:tcPr>
          <w:p w14:paraId="3A715A99">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第3季度</w:t>
            </w:r>
          </w:p>
        </w:tc>
        <w:tc>
          <w:tcPr>
            <w:tcW w:w="1216" w:type="dxa"/>
            <w:tcBorders>
              <w:top w:val="single" w:color="auto" w:sz="4" w:space="0"/>
              <w:left w:val="single" w:color="auto" w:sz="4" w:space="0"/>
              <w:bottom w:val="single" w:color="auto" w:sz="4" w:space="0"/>
              <w:right w:val="single" w:color="auto" w:sz="4" w:space="0"/>
            </w:tcBorders>
            <w:vAlign w:val="center"/>
          </w:tcPr>
          <w:p w14:paraId="1F03769D">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第4季度</w:t>
            </w:r>
          </w:p>
        </w:tc>
      </w:tr>
      <w:tr w14:paraId="7611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0" w:type="dxa"/>
            <w:tcBorders>
              <w:top w:val="single" w:color="auto" w:sz="4" w:space="0"/>
              <w:left w:val="single" w:color="auto" w:sz="4" w:space="0"/>
              <w:bottom w:val="single" w:color="auto" w:sz="4" w:space="0"/>
              <w:right w:val="single" w:color="auto" w:sz="4" w:space="0"/>
            </w:tcBorders>
          </w:tcPr>
          <w:p w14:paraId="08279977">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auto"/>
                <w:sz w:val="18"/>
                <w:szCs w:val="18"/>
                <w:highlight w:val="none"/>
              </w:rPr>
            </w:pPr>
          </w:p>
        </w:tc>
        <w:tc>
          <w:tcPr>
            <w:tcW w:w="764" w:type="dxa"/>
            <w:tcBorders>
              <w:top w:val="single" w:color="auto" w:sz="4" w:space="0"/>
              <w:left w:val="single" w:color="auto" w:sz="4" w:space="0"/>
              <w:bottom w:val="single" w:color="auto" w:sz="4" w:space="0"/>
              <w:right w:val="single" w:color="auto" w:sz="4" w:space="0"/>
            </w:tcBorders>
          </w:tcPr>
          <w:p w14:paraId="5961F02D">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auto"/>
                <w:sz w:val="18"/>
                <w:szCs w:val="18"/>
                <w:highlight w:val="none"/>
              </w:rPr>
            </w:pPr>
          </w:p>
        </w:tc>
        <w:tc>
          <w:tcPr>
            <w:tcW w:w="585" w:type="dxa"/>
            <w:tcBorders>
              <w:top w:val="single" w:color="auto" w:sz="4" w:space="0"/>
              <w:left w:val="single" w:color="auto" w:sz="4" w:space="0"/>
              <w:bottom w:val="single" w:color="auto" w:sz="4" w:space="0"/>
              <w:right w:val="single" w:color="auto" w:sz="4" w:space="0"/>
            </w:tcBorders>
          </w:tcPr>
          <w:p w14:paraId="33B1F832">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auto"/>
                <w:sz w:val="18"/>
                <w:szCs w:val="18"/>
                <w:highlight w:val="none"/>
              </w:rPr>
            </w:pPr>
          </w:p>
        </w:tc>
        <w:tc>
          <w:tcPr>
            <w:tcW w:w="600" w:type="dxa"/>
            <w:tcBorders>
              <w:top w:val="single" w:color="auto" w:sz="4" w:space="0"/>
              <w:left w:val="single" w:color="auto" w:sz="4" w:space="0"/>
              <w:bottom w:val="single" w:color="auto" w:sz="4" w:space="0"/>
              <w:right w:val="single" w:color="auto" w:sz="4" w:space="0"/>
            </w:tcBorders>
          </w:tcPr>
          <w:p w14:paraId="74D738F5">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auto"/>
                <w:sz w:val="18"/>
                <w:szCs w:val="18"/>
                <w:highlight w:val="none"/>
              </w:rPr>
            </w:pPr>
          </w:p>
        </w:tc>
        <w:tc>
          <w:tcPr>
            <w:tcW w:w="660" w:type="dxa"/>
            <w:tcBorders>
              <w:top w:val="single" w:color="auto" w:sz="4" w:space="0"/>
              <w:left w:val="single" w:color="auto" w:sz="4" w:space="0"/>
              <w:bottom w:val="single" w:color="auto" w:sz="4" w:space="0"/>
              <w:right w:val="single" w:color="auto" w:sz="4" w:space="0"/>
            </w:tcBorders>
          </w:tcPr>
          <w:p w14:paraId="310EB727">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auto"/>
                <w:sz w:val="18"/>
                <w:szCs w:val="18"/>
                <w:highlight w:val="none"/>
              </w:rPr>
            </w:pPr>
          </w:p>
        </w:tc>
        <w:tc>
          <w:tcPr>
            <w:tcW w:w="915" w:type="dxa"/>
            <w:tcBorders>
              <w:top w:val="single" w:color="auto" w:sz="4" w:space="0"/>
              <w:left w:val="single" w:color="auto" w:sz="4" w:space="0"/>
              <w:bottom w:val="single" w:color="auto" w:sz="4" w:space="0"/>
              <w:right w:val="single" w:color="auto" w:sz="4" w:space="0"/>
            </w:tcBorders>
          </w:tcPr>
          <w:p w14:paraId="36C18281">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auto"/>
                <w:sz w:val="18"/>
                <w:szCs w:val="18"/>
                <w:highlight w:val="none"/>
              </w:rPr>
            </w:pPr>
          </w:p>
        </w:tc>
        <w:tc>
          <w:tcPr>
            <w:tcW w:w="660" w:type="dxa"/>
            <w:tcBorders>
              <w:top w:val="single" w:color="auto" w:sz="4" w:space="0"/>
              <w:left w:val="single" w:color="auto" w:sz="4" w:space="0"/>
              <w:bottom w:val="single" w:color="auto" w:sz="4" w:space="0"/>
              <w:right w:val="single" w:color="auto" w:sz="4" w:space="0"/>
            </w:tcBorders>
          </w:tcPr>
          <w:p w14:paraId="16DB64FC">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auto"/>
                <w:sz w:val="18"/>
                <w:szCs w:val="18"/>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7A0CAA14">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auto"/>
                <w:sz w:val="18"/>
                <w:szCs w:val="18"/>
                <w:highlight w:val="none"/>
              </w:rPr>
            </w:pPr>
          </w:p>
        </w:tc>
        <w:tc>
          <w:tcPr>
            <w:tcW w:w="1200" w:type="dxa"/>
            <w:tcBorders>
              <w:top w:val="single" w:color="auto" w:sz="4" w:space="0"/>
              <w:left w:val="single" w:color="auto" w:sz="4" w:space="0"/>
              <w:bottom w:val="single" w:color="auto" w:sz="4" w:space="0"/>
              <w:right w:val="single" w:color="auto" w:sz="4" w:space="0"/>
            </w:tcBorders>
          </w:tcPr>
          <w:p w14:paraId="39C13A58">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auto"/>
                <w:sz w:val="18"/>
                <w:szCs w:val="18"/>
                <w:highlight w:val="none"/>
              </w:rPr>
            </w:pPr>
          </w:p>
        </w:tc>
        <w:tc>
          <w:tcPr>
            <w:tcW w:w="1305" w:type="dxa"/>
            <w:tcBorders>
              <w:top w:val="single" w:color="auto" w:sz="4" w:space="0"/>
              <w:left w:val="single" w:color="auto" w:sz="4" w:space="0"/>
              <w:bottom w:val="single" w:color="auto" w:sz="4" w:space="0"/>
              <w:right w:val="single" w:color="auto" w:sz="4" w:space="0"/>
            </w:tcBorders>
          </w:tcPr>
          <w:p w14:paraId="454E0203">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auto"/>
                <w:sz w:val="18"/>
                <w:szCs w:val="18"/>
                <w:highlight w:val="none"/>
              </w:rPr>
            </w:pPr>
          </w:p>
        </w:tc>
        <w:tc>
          <w:tcPr>
            <w:tcW w:w="1140" w:type="dxa"/>
            <w:tcBorders>
              <w:top w:val="single" w:color="auto" w:sz="4" w:space="0"/>
              <w:left w:val="single" w:color="auto" w:sz="4" w:space="0"/>
              <w:bottom w:val="single" w:color="auto" w:sz="4" w:space="0"/>
              <w:right w:val="single" w:color="auto" w:sz="4" w:space="0"/>
            </w:tcBorders>
          </w:tcPr>
          <w:p w14:paraId="73AA7B8E">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auto"/>
                <w:sz w:val="18"/>
                <w:szCs w:val="18"/>
                <w:highlight w:val="none"/>
              </w:rPr>
            </w:pPr>
          </w:p>
        </w:tc>
        <w:tc>
          <w:tcPr>
            <w:tcW w:w="705" w:type="dxa"/>
            <w:tcBorders>
              <w:top w:val="single" w:color="auto" w:sz="4" w:space="0"/>
              <w:left w:val="single" w:color="auto" w:sz="4" w:space="0"/>
              <w:bottom w:val="single" w:color="auto" w:sz="4" w:space="0"/>
              <w:right w:val="single" w:color="auto" w:sz="4" w:space="0"/>
            </w:tcBorders>
          </w:tcPr>
          <w:p w14:paraId="472723E5">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auto"/>
                <w:sz w:val="18"/>
                <w:szCs w:val="18"/>
                <w:highlight w:val="none"/>
              </w:rPr>
            </w:pPr>
          </w:p>
        </w:tc>
        <w:tc>
          <w:tcPr>
            <w:tcW w:w="600" w:type="dxa"/>
            <w:tcBorders>
              <w:top w:val="single" w:color="auto" w:sz="4" w:space="0"/>
              <w:left w:val="single" w:color="auto" w:sz="4" w:space="0"/>
              <w:bottom w:val="single" w:color="auto" w:sz="4" w:space="0"/>
              <w:right w:val="single" w:color="auto" w:sz="4" w:space="0"/>
            </w:tcBorders>
          </w:tcPr>
          <w:p w14:paraId="171061B1">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auto"/>
                <w:sz w:val="18"/>
                <w:szCs w:val="18"/>
                <w:highlight w:val="none"/>
              </w:rPr>
            </w:pPr>
          </w:p>
        </w:tc>
        <w:tc>
          <w:tcPr>
            <w:tcW w:w="1215" w:type="dxa"/>
            <w:tcBorders>
              <w:top w:val="single" w:color="auto" w:sz="4" w:space="0"/>
              <w:left w:val="single" w:color="auto" w:sz="4" w:space="0"/>
              <w:bottom w:val="single" w:color="auto" w:sz="4" w:space="0"/>
              <w:right w:val="single" w:color="auto" w:sz="4" w:space="0"/>
            </w:tcBorders>
          </w:tcPr>
          <w:p w14:paraId="355ACC68">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auto"/>
                <w:sz w:val="18"/>
                <w:szCs w:val="18"/>
                <w:highlight w:val="none"/>
              </w:rPr>
            </w:pPr>
          </w:p>
        </w:tc>
        <w:tc>
          <w:tcPr>
            <w:tcW w:w="1155" w:type="dxa"/>
            <w:tcBorders>
              <w:top w:val="single" w:color="auto" w:sz="4" w:space="0"/>
              <w:left w:val="single" w:color="auto" w:sz="4" w:space="0"/>
              <w:bottom w:val="single" w:color="auto" w:sz="4" w:space="0"/>
              <w:right w:val="single" w:color="auto" w:sz="4" w:space="0"/>
            </w:tcBorders>
          </w:tcPr>
          <w:p w14:paraId="00F6FE74">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auto"/>
                <w:sz w:val="18"/>
                <w:szCs w:val="18"/>
                <w:highlight w:val="none"/>
              </w:rPr>
            </w:pPr>
          </w:p>
        </w:tc>
        <w:tc>
          <w:tcPr>
            <w:tcW w:w="1155" w:type="dxa"/>
            <w:tcBorders>
              <w:top w:val="single" w:color="auto" w:sz="4" w:space="0"/>
              <w:left w:val="single" w:color="auto" w:sz="4" w:space="0"/>
              <w:bottom w:val="single" w:color="auto" w:sz="4" w:space="0"/>
              <w:right w:val="single" w:color="auto" w:sz="4" w:space="0"/>
            </w:tcBorders>
          </w:tcPr>
          <w:p w14:paraId="4BA3428B">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auto"/>
                <w:sz w:val="18"/>
                <w:szCs w:val="18"/>
                <w:highlight w:val="none"/>
              </w:rPr>
            </w:pPr>
          </w:p>
        </w:tc>
        <w:tc>
          <w:tcPr>
            <w:tcW w:w="1216" w:type="dxa"/>
            <w:tcBorders>
              <w:top w:val="single" w:color="auto" w:sz="4" w:space="0"/>
              <w:left w:val="single" w:color="auto" w:sz="4" w:space="0"/>
              <w:bottom w:val="single" w:color="auto" w:sz="4" w:space="0"/>
              <w:right w:val="single" w:color="auto" w:sz="4" w:space="0"/>
            </w:tcBorders>
          </w:tcPr>
          <w:p w14:paraId="6F2290DA">
            <w:pPr>
              <w:keepNext w:val="0"/>
              <w:keepLines w:val="0"/>
              <w:suppressLineNumbers w:val="0"/>
              <w:spacing w:before="0" w:beforeAutospacing="0" w:after="0" w:afterAutospacing="0"/>
              <w:ind w:right="0" w:firstLine="260"/>
              <w:jc w:val="center"/>
              <w:rPr>
                <w:rFonts w:hint="eastAsia" w:asciiTheme="minorEastAsia" w:hAnsiTheme="minorEastAsia" w:eastAsiaTheme="minorEastAsia" w:cstheme="minorEastAsia"/>
                <w:color w:val="auto"/>
                <w:sz w:val="18"/>
                <w:szCs w:val="18"/>
                <w:highlight w:val="none"/>
              </w:rPr>
            </w:pPr>
          </w:p>
        </w:tc>
      </w:tr>
    </w:tbl>
    <w:p w14:paraId="22833D04">
      <w:pPr>
        <w:pStyle w:val="18"/>
        <w:pageBreakBefore w:val="0"/>
        <w:kinsoku/>
        <w:topLinePunct w:val="0"/>
        <w:bidi w:val="0"/>
        <w:spacing w:line="580" w:lineRule="exact"/>
        <w:rPr>
          <w:rFonts w:ascii="仿宋_GB2312" w:hAnsi="仿宋_GB2312" w:eastAsia="仿宋_GB2312" w:cs="仿宋_GB2312"/>
          <w:color w:val="auto"/>
          <w:kern w:val="44"/>
          <w:sz w:val="28"/>
          <w:highlight w:val="none"/>
          <w:u w:val="none"/>
        </w:rPr>
      </w:pPr>
    </w:p>
    <w:p w14:paraId="1C6285C8">
      <w:pPr>
        <w:pStyle w:val="18"/>
        <w:pageBreakBefore w:val="0"/>
        <w:kinsoku/>
        <w:topLinePunct w:val="0"/>
        <w:bidi w:val="0"/>
        <w:spacing w:line="580" w:lineRule="exact"/>
        <w:rPr>
          <w:rFonts w:ascii="仿宋_GB2312" w:hAnsi="仿宋_GB2312" w:eastAsia="仿宋_GB2312" w:cs="仿宋_GB2312"/>
          <w:color w:val="auto"/>
          <w:kern w:val="44"/>
          <w:sz w:val="28"/>
          <w:highlight w:val="none"/>
          <w:u w:val="none"/>
        </w:rPr>
      </w:pPr>
    </w:p>
    <w:p w14:paraId="3CF9D8A2">
      <w:pPr>
        <w:rPr>
          <w:color w:val="auto"/>
          <w:highlight w:val="none"/>
          <w:u w:val="none"/>
        </w:rPr>
      </w:pPr>
      <w:r>
        <w:rPr>
          <w:color w:val="auto"/>
          <w:highlight w:val="none"/>
          <w:u w:val="none"/>
        </w:rPr>
        <w:br w:type="page"/>
      </w:r>
    </w:p>
    <w:p w14:paraId="5ABB09DA">
      <w:pPr>
        <w:pStyle w:val="18"/>
        <w:pageBreakBefore w:val="0"/>
        <w:kinsoku/>
        <w:topLinePunct w:val="0"/>
        <w:bidi w:val="0"/>
        <w:spacing w:line="580" w:lineRule="exact"/>
        <w:rPr>
          <w:color w:val="auto"/>
          <w:highlight w:val="none"/>
          <w:u w:val="none"/>
        </w:rPr>
        <w:sectPr>
          <w:pgSz w:w="16838" w:h="11906" w:orient="landscape"/>
          <w:pgMar w:top="1746" w:right="1440" w:bottom="1746" w:left="1440" w:header="851" w:footer="992" w:gutter="0"/>
          <w:cols w:space="425" w:num="1"/>
          <w:docGrid w:type="lines" w:linePitch="326" w:charSpace="0"/>
        </w:sectPr>
      </w:pPr>
    </w:p>
    <w:bookmarkEnd w:id="474"/>
    <w:bookmarkEnd w:id="475"/>
    <w:bookmarkEnd w:id="476"/>
    <w:bookmarkEnd w:id="477"/>
    <w:bookmarkEnd w:id="478"/>
    <w:bookmarkEnd w:id="479"/>
    <w:bookmarkEnd w:id="480"/>
    <w:bookmarkEnd w:id="481"/>
    <w:p w14:paraId="1B88CCFD">
      <w:pPr>
        <w:keepNext w:val="0"/>
        <w:keepLines w:val="0"/>
        <w:pageBreakBefore w:val="0"/>
        <w:widowControl w:val="0"/>
        <w:kinsoku/>
        <w:wordWrap/>
        <w:overflowPunct/>
        <w:topLinePunct w:val="0"/>
        <w:autoSpaceDE/>
        <w:autoSpaceDN/>
        <w:bidi w:val="0"/>
        <w:adjustRightInd/>
        <w:snapToGrid/>
        <w:spacing w:line="520" w:lineRule="exact"/>
        <w:ind w:left="0"/>
        <w:jc w:val="both"/>
        <w:textAlignment w:val="auto"/>
        <w:outlineLvl w:val="1"/>
        <w:rPr>
          <w:rFonts w:hint="eastAsia" w:ascii="黑体" w:hAnsi="黑体" w:cs="黑体"/>
          <w:b w:val="0"/>
          <w:bCs w:val="0"/>
          <w:color w:val="auto"/>
          <w:sz w:val="32"/>
          <w:szCs w:val="32"/>
          <w:highlight w:val="none"/>
          <w:u w:val="none"/>
          <w:lang w:val="en-US" w:eastAsia="zh-CN"/>
        </w:rPr>
      </w:pPr>
      <w:bookmarkStart w:id="493" w:name="_Toc15519"/>
      <w:bookmarkStart w:id="494" w:name="_Toc10329"/>
      <w:bookmarkStart w:id="495" w:name="_Toc5108"/>
      <w:bookmarkStart w:id="496" w:name="_Toc11154"/>
      <w:bookmarkStart w:id="497" w:name="_Toc29917"/>
      <w:bookmarkStart w:id="498" w:name="_Toc17093"/>
      <w:bookmarkStart w:id="499" w:name="_Toc7960"/>
      <w:bookmarkStart w:id="500" w:name="_Hlk128850934"/>
      <w:bookmarkStart w:id="501" w:name="_Hlk128850817"/>
      <w:bookmarkStart w:id="502" w:name="_Toc16770"/>
      <w:r>
        <w:rPr>
          <w:rFonts w:hint="eastAsia" w:ascii="黑体" w:hAnsi="黑体" w:eastAsia="黑体" w:cs="黑体"/>
          <w:b w:val="0"/>
          <w:bCs w:val="0"/>
          <w:color w:val="auto"/>
          <w:sz w:val="32"/>
          <w:szCs w:val="32"/>
          <w:highlight w:val="none"/>
          <w:u w:val="none"/>
        </w:rPr>
        <w:t>附件</w:t>
      </w:r>
      <w:bookmarkEnd w:id="493"/>
      <w:bookmarkEnd w:id="494"/>
      <w:bookmarkEnd w:id="495"/>
      <w:bookmarkEnd w:id="496"/>
      <w:bookmarkEnd w:id="497"/>
      <w:bookmarkEnd w:id="498"/>
      <w:r>
        <w:rPr>
          <w:rFonts w:hint="eastAsia" w:ascii="黑体" w:hAnsi="黑体" w:cs="黑体"/>
          <w:b w:val="0"/>
          <w:bCs w:val="0"/>
          <w:color w:val="auto"/>
          <w:sz w:val="32"/>
          <w:szCs w:val="32"/>
          <w:highlight w:val="none"/>
          <w:u w:val="none"/>
          <w:lang w:val="en-US" w:eastAsia="zh-CN"/>
        </w:rPr>
        <w:t>3</w:t>
      </w:r>
      <w:bookmarkEnd w:id="499"/>
    </w:p>
    <w:p w14:paraId="3CDB09C4">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方正小标宋简体" w:hAnsi="方正小标宋简体" w:eastAsia="方正小标宋简体" w:cs="方正小标宋简体"/>
          <w:b w:val="0"/>
          <w:bCs w:val="0"/>
          <w:color w:val="auto"/>
          <w:kern w:val="2"/>
          <w:sz w:val="36"/>
          <w:szCs w:val="36"/>
          <w:highlight w:val="none"/>
          <w:u w:val="none"/>
          <w:lang w:val="en-US" w:eastAsia="zh-CN"/>
        </w:rPr>
      </w:pPr>
      <w:r>
        <w:rPr>
          <w:rFonts w:hint="eastAsia" w:ascii="方正小标宋简体" w:hAnsi="方正小标宋简体" w:eastAsia="方正小标宋简体" w:cs="方正小标宋简体"/>
          <w:b w:val="0"/>
          <w:bCs w:val="0"/>
          <w:color w:val="auto"/>
          <w:kern w:val="2"/>
          <w:sz w:val="36"/>
          <w:szCs w:val="36"/>
          <w:highlight w:val="none"/>
          <w:u w:val="none"/>
          <w:lang w:eastAsia="zh-CN"/>
        </w:rPr>
        <w:t>广东省血流导向密网支架类医用耗材带量联动</w:t>
      </w:r>
      <w:r>
        <w:rPr>
          <w:rFonts w:hint="eastAsia" w:ascii="方正小标宋简体" w:hAnsi="方正小标宋简体" w:eastAsia="方正小标宋简体" w:cs="方正小标宋简体"/>
          <w:b w:val="0"/>
          <w:bCs w:val="0"/>
          <w:color w:val="auto"/>
          <w:kern w:val="2"/>
          <w:sz w:val="36"/>
          <w:szCs w:val="36"/>
          <w:highlight w:val="none"/>
          <w:u w:val="none"/>
          <w:lang w:val="en-US" w:eastAsia="zh-CN"/>
        </w:rPr>
        <w:t>采购</w:t>
      </w:r>
    </w:p>
    <w:p w14:paraId="7CB5AA51">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ascii="方正小标宋简体" w:hAnsi="方正小标宋简体" w:eastAsia="方正小标宋简体" w:cs="方正小标宋简体"/>
          <w:b w:val="0"/>
          <w:bCs w:val="0"/>
          <w:color w:val="auto"/>
          <w:kern w:val="2"/>
          <w:sz w:val="36"/>
          <w:szCs w:val="36"/>
          <w:highlight w:val="none"/>
          <w:u w:val="none"/>
        </w:rPr>
      </w:pPr>
      <w:r>
        <w:rPr>
          <w:rFonts w:hint="eastAsia" w:ascii="方正小标宋简体" w:hAnsi="方正小标宋简体" w:eastAsia="方正小标宋简体" w:cs="方正小标宋简体"/>
          <w:b w:val="0"/>
          <w:bCs w:val="0"/>
          <w:color w:val="auto"/>
          <w:kern w:val="2"/>
          <w:sz w:val="36"/>
          <w:szCs w:val="36"/>
          <w:highlight w:val="none"/>
          <w:u w:val="none"/>
        </w:rPr>
        <w:t>申报函</w:t>
      </w:r>
      <w:bookmarkEnd w:id="500"/>
    </w:p>
    <w:bookmarkEnd w:id="501"/>
    <w:p w14:paraId="11875298">
      <w:pPr>
        <w:keepNext w:val="0"/>
        <w:keepLines w:val="0"/>
        <w:pageBreakBefore w:val="0"/>
        <w:widowControl w:val="0"/>
        <w:kinsoku/>
        <w:wordWrap/>
        <w:overflowPunct/>
        <w:topLinePunct w:val="0"/>
        <w:autoSpaceDE/>
        <w:autoSpaceDN/>
        <w:bidi w:val="0"/>
        <w:adjustRightInd/>
        <w:snapToGrid/>
        <w:spacing w:line="380" w:lineRule="exact"/>
        <w:ind w:left="0"/>
        <w:jc w:val="both"/>
        <w:textAlignment w:val="auto"/>
        <w:rPr>
          <w:rFonts w:hint="eastAsia" w:ascii="仿宋_GB2312" w:hAnsi="仿宋_GB2312" w:eastAsia="仿宋_GB2312" w:cs="仿宋_GB2312"/>
          <w:color w:val="auto"/>
          <w:kern w:val="2"/>
          <w:sz w:val="20"/>
          <w:szCs w:val="20"/>
          <w:highlight w:val="none"/>
          <w:u w:val="none"/>
        </w:rPr>
      </w:pPr>
    </w:p>
    <w:p w14:paraId="164015C8">
      <w:pPr>
        <w:keepNext w:val="0"/>
        <w:keepLines w:val="0"/>
        <w:pageBreakBefore w:val="0"/>
        <w:widowControl w:val="0"/>
        <w:kinsoku/>
        <w:wordWrap/>
        <w:overflowPunct/>
        <w:topLinePunct w:val="0"/>
        <w:autoSpaceDE/>
        <w:autoSpaceDN/>
        <w:bidi w:val="0"/>
        <w:adjustRightInd/>
        <w:snapToGrid/>
        <w:spacing w:line="380" w:lineRule="exact"/>
        <w:ind w:left="0"/>
        <w:jc w:val="both"/>
        <w:textAlignment w:val="auto"/>
        <w:rPr>
          <w:rFonts w:ascii="仿宋_GB2312" w:hAnsi="仿宋_GB2312" w:eastAsia="仿宋_GB2312" w:cs="仿宋_GB2312"/>
          <w:color w:val="auto"/>
          <w:kern w:val="2"/>
          <w:sz w:val="30"/>
          <w:szCs w:val="30"/>
          <w:highlight w:val="none"/>
          <w:u w:val="none"/>
          <w:lang w:val="zh-CN" w:bidi="zh-CN"/>
        </w:rPr>
      </w:pPr>
      <w:r>
        <w:rPr>
          <w:rFonts w:hint="eastAsia" w:ascii="仿宋_GB2312" w:hAnsi="仿宋_GB2312" w:eastAsia="仿宋_GB2312" w:cs="仿宋_GB2312"/>
          <w:color w:val="auto"/>
          <w:kern w:val="2"/>
          <w:sz w:val="30"/>
          <w:szCs w:val="30"/>
          <w:highlight w:val="none"/>
          <w:u w:val="none"/>
        </w:rPr>
        <w:t>深圳公共资源交易中心</w:t>
      </w:r>
      <w:r>
        <w:rPr>
          <w:rFonts w:hint="eastAsia" w:ascii="仿宋_GB2312" w:hAnsi="仿宋_GB2312" w:eastAsia="仿宋_GB2312" w:cs="仿宋_GB2312"/>
          <w:color w:val="auto"/>
          <w:kern w:val="0"/>
          <w:sz w:val="30"/>
          <w:szCs w:val="30"/>
          <w:highlight w:val="none"/>
          <w:u w:val="none"/>
          <w:lang w:val="zh-CN" w:bidi="zh-CN"/>
        </w:rPr>
        <w:t>：</w:t>
      </w:r>
    </w:p>
    <w:p w14:paraId="11977E69">
      <w:pPr>
        <w:keepNext w:val="0"/>
        <w:keepLines w:val="0"/>
        <w:pageBreakBefore w:val="0"/>
        <w:widowControl w:val="0"/>
        <w:kinsoku/>
        <w:wordWrap/>
        <w:overflowPunct/>
        <w:topLinePunct w:val="0"/>
        <w:autoSpaceDE/>
        <w:autoSpaceDN/>
        <w:bidi w:val="0"/>
        <w:adjustRightInd/>
        <w:snapToGrid/>
        <w:spacing w:line="360" w:lineRule="exact"/>
        <w:ind w:left="0" w:firstLine="600" w:firstLineChars="200"/>
        <w:jc w:val="both"/>
        <w:textAlignment w:val="auto"/>
        <w:rPr>
          <w:rFonts w:ascii="仿宋_GB2312" w:hAnsi="仿宋_GB2312" w:eastAsia="仿宋_GB2312" w:cs="仿宋_GB2312"/>
          <w:color w:val="auto"/>
          <w:kern w:val="2"/>
          <w:sz w:val="30"/>
          <w:szCs w:val="30"/>
          <w:highlight w:val="none"/>
          <w:u w:val="none"/>
        </w:rPr>
      </w:pPr>
      <w:r>
        <w:rPr>
          <w:rFonts w:hint="eastAsia" w:ascii="仿宋_GB2312" w:hAnsi="仿宋_GB2312" w:eastAsia="仿宋_GB2312" w:cs="仿宋_GB2312"/>
          <w:color w:val="auto"/>
          <w:kern w:val="2"/>
          <w:sz w:val="30"/>
          <w:szCs w:val="30"/>
          <w:highlight w:val="none"/>
          <w:u w:val="none"/>
        </w:rPr>
        <w:t>在充分理解</w:t>
      </w:r>
      <w:r>
        <w:rPr>
          <w:rFonts w:hint="eastAsia" w:ascii="仿宋_GB2312" w:hAnsi="仿宋_GB2312" w:eastAsia="仿宋_GB2312" w:cs="仿宋_GB2312"/>
          <w:color w:val="auto"/>
          <w:kern w:val="2"/>
          <w:sz w:val="30"/>
          <w:szCs w:val="30"/>
          <w:highlight w:val="none"/>
          <w:u w:val="none"/>
          <w:lang w:eastAsia="zh-CN"/>
        </w:rPr>
        <w:t>《广东省血流导向密网支架类医用耗材带量联动采购文件</w:t>
      </w:r>
      <w:r>
        <w:rPr>
          <w:rFonts w:hint="eastAsia" w:ascii="仿宋_GB2312" w:hAnsi="仿宋_GB2312" w:eastAsia="仿宋_GB2312" w:cs="仿宋_GB2312"/>
          <w:color w:val="auto"/>
          <w:kern w:val="0"/>
          <w:sz w:val="30"/>
          <w:szCs w:val="30"/>
          <w:highlight w:val="none"/>
          <w:u w:val="none"/>
          <w:lang w:val="zh-CN" w:bidi="zh-CN"/>
        </w:rPr>
        <w:t>》（</w:t>
      </w:r>
      <w:r>
        <w:rPr>
          <w:rFonts w:hint="eastAsia" w:ascii="仿宋_GB2312" w:hAnsi="仿宋_GB2312" w:eastAsia="仿宋_GB2312" w:cs="仿宋_GB2312"/>
          <w:color w:val="auto"/>
          <w:kern w:val="0"/>
          <w:sz w:val="30"/>
          <w:szCs w:val="30"/>
          <w:highlight w:val="none"/>
          <w:u w:val="none"/>
          <w:lang w:val="en-US" w:bidi="zh-CN"/>
        </w:rPr>
        <w:t>采购文件编号：SZGGZYHCDL202501</w:t>
      </w:r>
      <w:r>
        <w:rPr>
          <w:rFonts w:hint="eastAsia" w:ascii="仿宋_GB2312" w:hAnsi="仿宋_GB2312" w:eastAsia="仿宋_GB2312" w:cs="仿宋_GB2312"/>
          <w:color w:val="auto"/>
          <w:kern w:val="0"/>
          <w:sz w:val="30"/>
          <w:szCs w:val="30"/>
          <w:highlight w:val="none"/>
          <w:u w:val="none"/>
          <w:lang w:val="zh-CN" w:bidi="zh-CN"/>
        </w:rPr>
        <w:t>）</w:t>
      </w:r>
      <w:r>
        <w:rPr>
          <w:rFonts w:ascii="仿宋_GB2312" w:hAnsi="仿宋_GB2312" w:eastAsia="仿宋_GB2312" w:cs="仿宋_GB2312"/>
          <w:color w:val="auto"/>
          <w:kern w:val="2"/>
          <w:sz w:val="30"/>
          <w:szCs w:val="30"/>
          <w:highlight w:val="none"/>
          <w:u w:val="none"/>
        </w:rPr>
        <w:t>后，我方决</w:t>
      </w:r>
      <w:r>
        <w:rPr>
          <w:rFonts w:hint="eastAsia" w:ascii="仿宋_GB2312" w:hAnsi="仿宋_GB2312" w:eastAsia="仿宋_GB2312" w:cs="仿宋_GB2312"/>
          <w:color w:val="auto"/>
          <w:kern w:val="2"/>
          <w:sz w:val="30"/>
          <w:szCs w:val="30"/>
          <w:highlight w:val="none"/>
          <w:u w:val="none"/>
        </w:rPr>
        <w:t>定按照采购文件的规定申报参与，并保证申报的价格及其他证明材料的真实性、合法性、有效性。</w:t>
      </w:r>
    </w:p>
    <w:p w14:paraId="0878B5A2">
      <w:pPr>
        <w:keepNext w:val="0"/>
        <w:keepLines w:val="0"/>
        <w:pageBreakBefore w:val="0"/>
        <w:widowControl w:val="0"/>
        <w:kinsoku/>
        <w:wordWrap/>
        <w:overflowPunct/>
        <w:topLinePunct w:val="0"/>
        <w:autoSpaceDE/>
        <w:autoSpaceDN/>
        <w:bidi w:val="0"/>
        <w:adjustRightInd/>
        <w:snapToGrid/>
        <w:spacing w:line="360" w:lineRule="exact"/>
        <w:ind w:left="0" w:firstLine="600" w:firstLineChars="200"/>
        <w:jc w:val="both"/>
        <w:textAlignment w:val="auto"/>
        <w:rPr>
          <w:rFonts w:ascii="仿宋_GB2312" w:hAnsi="仿宋_GB2312" w:eastAsia="仿宋_GB2312" w:cs="仿宋_GB2312"/>
          <w:color w:val="auto"/>
          <w:kern w:val="2"/>
          <w:sz w:val="30"/>
          <w:szCs w:val="30"/>
          <w:highlight w:val="none"/>
          <w:u w:val="none"/>
        </w:rPr>
      </w:pPr>
      <w:r>
        <w:rPr>
          <w:rFonts w:hint="eastAsia" w:ascii="仿宋_GB2312" w:hAnsi="仿宋_GB2312" w:eastAsia="仿宋_GB2312" w:cs="仿宋_GB2312"/>
          <w:color w:val="auto"/>
          <w:kern w:val="2"/>
          <w:sz w:val="30"/>
          <w:szCs w:val="30"/>
          <w:highlight w:val="none"/>
          <w:u w:val="none"/>
        </w:rPr>
        <w:t>我方已充分考虑原材料价格、配送、税费、服务等因素，并以此申报。我方承诺申报价格不低于本企业该产品成本价与伴随服务成本价之和。我方完全理解及遵守采购文件中的</w:t>
      </w:r>
      <w:r>
        <w:rPr>
          <w:rFonts w:hint="eastAsia" w:ascii="仿宋_GB2312" w:hAnsi="仿宋_GB2312" w:eastAsia="仿宋_GB2312" w:cs="仿宋_GB2312"/>
          <w:color w:val="auto"/>
          <w:kern w:val="2"/>
          <w:sz w:val="30"/>
          <w:szCs w:val="30"/>
          <w:highlight w:val="none"/>
          <w:u w:val="none"/>
          <w:lang w:eastAsia="zh-CN"/>
        </w:rPr>
        <w:t>中选产品</w:t>
      </w:r>
      <w:r>
        <w:rPr>
          <w:rFonts w:hint="eastAsia" w:ascii="仿宋_GB2312" w:hAnsi="仿宋_GB2312" w:eastAsia="仿宋_GB2312" w:cs="仿宋_GB2312"/>
          <w:color w:val="auto"/>
          <w:kern w:val="2"/>
          <w:sz w:val="30"/>
          <w:szCs w:val="30"/>
          <w:highlight w:val="none"/>
          <w:u w:val="none"/>
        </w:rPr>
        <w:t>确认准则，理解贵方不一定要接受最低申报价格的申报。</w:t>
      </w:r>
    </w:p>
    <w:p w14:paraId="7AF958F2">
      <w:pPr>
        <w:keepNext w:val="0"/>
        <w:keepLines w:val="0"/>
        <w:pageBreakBefore w:val="0"/>
        <w:widowControl w:val="0"/>
        <w:kinsoku/>
        <w:wordWrap/>
        <w:overflowPunct/>
        <w:topLinePunct w:val="0"/>
        <w:autoSpaceDE/>
        <w:autoSpaceDN/>
        <w:bidi w:val="0"/>
        <w:adjustRightInd/>
        <w:snapToGrid/>
        <w:spacing w:line="360" w:lineRule="exact"/>
        <w:ind w:left="0" w:firstLine="600" w:firstLineChars="200"/>
        <w:jc w:val="both"/>
        <w:textAlignment w:val="auto"/>
        <w:rPr>
          <w:rFonts w:ascii="仿宋_GB2312" w:hAnsi="仿宋_GB2312" w:eastAsia="仿宋_GB2312" w:cs="仿宋_GB2312"/>
          <w:color w:val="auto"/>
          <w:kern w:val="2"/>
          <w:sz w:val="30"/>
          <w:szCs w:val="30"/>
          <w:highlight w:val="none"/>
          <w:u w:val="none"/>
        </w:rPr>
      </w:pPr>
      <w:r>
        <w:rPr>
          <w:rFonts w:hint="eastAsia" w:ascii="仿宋_GB2312" w:hAnsi="仿宋_GB2312" w:eastAsia="仿宋_GB2312" w:cs="仿宋_GB2312"/>
          <w:color w:val="auto"/>
          <w:kern w:val="2"/>
          <w:sz w:val="30"/>
          <w:szCs w:val="30"/>
          <w:highlight w:val="none"/>
          <w:u w:val="none"/>
        </w:rPr>
        <w:t>我方承诺确保在</w:t>
      </w:r>
      <w:r>
        <w:rPr>
          <w:rFonts w:hint="eastAsia" w:ascii="仿宋_GB2312" w:hAnsi="仿宋_GB2312" w:eastAsia="仿宋_GB2312" w:cs="仿宋_GB2312"/>
          <w:color w:val="auto"/>
          <w:kern w:val="2"/>
          <w:sz w:val="30"/>
          <w:szCs w:val="30"/>
          <w:highlight w:val="none"/>
          <w:u w:val="none"/>
          <w:lang w:eastAsia="zh-CN"/>
        </w:rPr>
        <w:t>采购周期</w:t>
      </w:r>
      <w:r>
        <w:rPr>
          <w:rFonts w:hint="eastAsia" w:ascii="仿宋_GB2312" w:hAnsi="仿宋_GB2312" w:eastAsia="仿宋_GB2312" w:cs="仿宋_GB2312"/>
          <w:color w:val="auto"/>
          <w:kern w:val="2"/>
          <w:sz w:val="30"/>
          <w:szCs w:val="30"/>
          <w:highlight w:val="none"/>
          <w:u w:val="none"/>
        </w:rPr>
        <w:t>内满足</w:t>
      </w:r>
      <w:r>
        <w:rPr>
          <w:rFonts w:hint="eastAsia" w:ascii="仿宋_GB2312" w:hAnsi="仿宋_GB2312" w:eastAsia="仿宋_GB2312" w:cs="仿宋_GB2312"/>
          <w:color w:val="auto"/>
          <w:kern w:val="2"/>
          <w:sz w:val="30"/>
          <w:szCs w:val="30"/>
          <w:highlight w:val="none"/>
          <w:u w:val="none"/>
          <w:lang w:eastAsia="zh-CN"/>
        </w:rPr>
        <w:t>中选产品</w:t>
      </w:r>
      <w:r>
        <w:rPr>
          <w:rFonts w:hint="eastAsia" w:ascii="仿宋_GB2312" w:hAnsi="仿宋_GB2312" w:eastAsia="仿宋_GB2312" w:cs="仿宋_GB2312"/>
          <w:color w:val="auto"/>
          <w:kern w:val="2"/>
          <w:sz w:val="30"/>
          <w:szCs w:val="30"/>
          <w:highlight w:val="none"/>
          <w:u w:val="none"/>
        </w:rPr>
        <w:t>对应所有规格型号的采购需求，具有履行采购协议必须具备的</w:t>
      </w:r>
      <w:r>
        <w:rPr>
          <w:rFonts w:hint="eastAsia" w:ascii="仿宋_GB2312" w:hAnsi="仿宋_GB2312" w:eastAsia="仿宋_GB2312" w:cs="仿宋_GB2312"/>
          <w:color w:val="auto"/>
          <w:kern w:val="2"/>
          <w:sz w:val="30"/>
          <w:szCs w:val="30"/>
          <w:highlight w:val="none"/>
          <w:u w:val="none"/>
          <w:lang w:eastAsia="zh-CN"/>
        </w:rPr>
        <w:t>中选产品</w:t>
      </w:r>
      <w:r>
        <w:rPr>
          <w:rFonts w:hint="eastAsia" w:ascii="仿宋_GB2312" w:hAnsi="仿宋_GB2312" w:eastAsia="仿宋_GB2312" w:cs="仿宋_GB2312"/>
          <w:color w:val="auto"/>
          <w:kern w:val="2"/>
          <w:sz w:val="30"/>
          <w:szCs w:val="30"/>
          <w:highlight w:val="none"/>
          <w:u w:val="none"/>
        </w:rPr>
        <w:t>供应能力，对产品的质量和供应负责。如我方产品中选，将按要求及时足量组织生产，及时向配送企业供应</w:t>
      </w:r>
      <w:r>
        <w:rPr>
          <w:rFonts w:hint="eastAsia" w:ascii="仿宋_GB2312" w:hAnsi="仿宋_GB2312" w:eastAsia="仿宋_GB2312" w:cs="仿宋_GB2312"/>
          <w:color w:val="auto"/>
          <w:kern w:val="2"/>
          <w:sz w:val="30"/>
          <w:szCs w:val="30"/>
          <w:highlight w:val="none"/>
          <w:u w:val="none"/>
          <w:lang w:eastAsia="zh-CN"/>
        </w:rPr>
        <w:t>中选产品</w:t>
      </w:r>
      <w:r>
        <w:rPr>
          <w:rFonts w:hint="eastAsia" w:ascii="仿宋_GB2312" w:hAnsi="仿宋_GB2312" w:eastAsia="仿宋_GB2312" w:cs="仿宋_GB2312"/>
          <w:color w:val="auto"/>
          <w:kern w:val="2"/>
          <w:sz w:val="30"/>
          <w:szCs w:val="30"/>
          <w:highlight w:val="none"/>
          <w:u w:val="none"/>
        </w:rPr>
        <w:t>，按协议要求向医疗机构提供伴随服务，满足医疗机构临床使用需要，确保</w:t>
      </w:r>
      <w:r>
        <w:rPr>
          <w:rFonts w:hint="eastAsia" w:ascii="仿宋_GB2312" w:hAnsi="仿宋_GB2312" w:eastAsia="仿宋_GB2312" w:cs="仿宋_GB2312"/>
          <w:color w:val="auto"/>
          <w:kern w:val="2"/>
          <w:sz w:val="30"/>
          <w:szCs w:val="30"/>
          <w:highlight w:val="none"/>
          <w:u w:val="none"/>
          <w:lang w:eastAsia="zh-CN"/>
        </w:rPr>
        <w:t>中选产品</w:t>
      </w:r>
      <w:r>
        <w:rPr>
          <w:rFonts w:hint="eastAsia" w:ascii="仿宋_GB2312" w:hAnsi="仿宋_GB2312" w:eastAsia="仿宋_GB2312" w:cs="仿宋_GB2312"/>
          <w:color w:val="auto"/>
          <w:kern w:val="2"/>
          <w:sz w:val="30"/>
          <w:szCs w:val="30"/>
          <w:highlight w:val="none"/>
          <w:u w:val="none"/>
        </w:rPr>
        <w:t>的价格、质量及数量等一切要素按照采购协议履行。如有违约行为，按照采购文件有关规定接受处置。</w:t>
      </w:r>
    </w:p>
    <w:p w14:paraId="686BBABE">
      <w:pPr>
        <w:keepNext w:val="0"/>
        <w:keepLines w:val="0"/>
        <w:pageBreakBefore w:val="0"/>
        <w:widowControl w:val="0"/>
        <w:kinsoku/>
        <w:wordWrap/>
        <w:overflowPunct/>
        <w:topLinePunct w:val="0"/>
        <w:autoSpaceDE/>
        <w:autoSpaceDN/>
        <w:bidi w:val="0"/>
        <w:adjustRightInd/>
        <w:snapToGrid/>
        <w:spacing w:line="360" w:lineRule="exact"/>
        <w:ind w:left="0" w:firstLine="600" w:firstLineChars="200"/>
        <w:jc w:val="both"/>
        <w:textAlignment w:val="auto"/>
        <w:rPr>
          <w:rFonts w:ascii="仿宋_GB2312" w:hAnsi="仿宋_GB2312" w:eastAsia="仿宋_GB2312" w:cs="仿宋_GB2312"/>
          <w:color w:val="auto"/>
          <w:kern w:val="2"/>
          <w:sz w:val="30"/>
          <w:szCs w:val="30"/>
          <w:highlight w:val="none"/>
          <w:u w:val="none"/>
        </w:rPr>
      </w:pPr>
      <w:r>
        <w:rPr>
          <w:rFonts w:hint="eastAsia" w:ascii="仿宋_GB2312" w:hAnsi="仿宋_GB2312" w:eastAsia="仿宋_GB2312" w:cs="仿宋_GB2312"/>
          <w:color w:val="auto"/>
          <w:kern w:val="2"/>
          <w:sz w:val="30"/>
          <w:szCs w:val="30"/>
          <w:highlight w:val="none"/>
          <w:u w:val="none"/>
        </w:rPr>
        <w:t>我方承诺申报产品不存在违反《中华人民共和国专利法》《中华人民共和国反不正当竞争法》等相关法律法规的情形，该承诺在</w:t>
      </w:r>
      <w:r>
        <w:rPr>
          <w:rFonts w:hint="eastAsia" w:ascii="仿宋_GB2312" w:hAnsi="仿宋_GB2312" w:eastAsia="仿宋_GB2312" w:cs="仿宋_GB2312"/>
          <w:color w:val="auto"/>
          <w:kern w:val="2"/>
          <w:sz w:val="30"/>
          <w:szCs w:val="30"/>
          <w:highlight w:val="none"/>
          <w:u w:val="none"/>
          <w:lang w:eastAsia="zh-CN"/>
        </w:rPr>
        <w:t>采购周期</w:t>
      </w:r>
      <w:r>
        <w:rPr>
          <w:rFonts w:hint="eastAsia" w:ascii="仿宋_GB2312" w:hAnsi="仿宋_GB2312" w:eastAsia="仿宋_GB2312" w:cs="仿宋_GB2312"/>
          <w:color w:val="auto"/>
          <w:kern w:val="2"/>
          <w:sz w:val="30"/>
          <w:szCs w:val="30"/>
          <w:highlight w:val="none"/>
          <w:u w:val="none"/>
        </w:rPr>
        <w:t>内持续有效，若产生相关纠纷，给医疗机构造成的损失由我方承担。</w:t>
      </w:r>
    </w:p>
    <w:p w14:paraId="0783DC5C">
      <w:pPr>
        <w:keepNext w:val="0"/>
        <w:keepLines w:val="0"/>
        <w:pageBreakBefore w:val="0"/>
        <w:widowControl w:val="0"/>
        <w:kinsoku/>
        <w:wordWrap/>
        <w:overflowPunct/>
        <w:topLinePunct w:val="0"/>
        <w:autoSpaceDE/>
        <w:autoSpaceDN/>
        <w:bidi w:val="0"/>
        <w:adjustRightInd/>
        <w:snapToGrid/>
        <w:spacing w:line="360" w:lineRule="exact"/>
        <w:ind w:left="0" w:firstLine="600" w:firstLineChars="200"/>
        <w:jc w:val="both"/>
        <w:textAlignment w:val="auto"/>
        <w:rPr>
          <w:rFonts w:hint="eastAsia"/>
          <w:color w:val="auto"/>
          <w:sz w:val="30"/>
          <w:szCs w:val="30"/>
          <w:highlight w:val="none"/>
          <w:lang w:val="en-US" w:eastAsia="zh-CN"/>
        </w:rPr>
      </w:pPr>
      <w:r>
        <w:rPr>
          <w:rFonts w:hint="eastAsia" w:ascii="仿宋_GB2312" w:hAnsi="仿宋_GB2312" w:eastAsia="仿宋_GB2312" w:cs="仿宋_GB2312"/>
          <w:color w:val="auto"/>
          <w:kern w:val="2"/>
          <w:sz w:val="30"/>
          <w:szCs w:val="30"/>
          <w:highlight w:val="none"/>
          <w:u w:val="none"/>
        </w:rPr>
        <w:t>我方承诺</w:t>
      </w:r>
      <w:r>
        <w:rPr>
          <w:rFonts w:hint="eastAsia" w:ascii="仿宋_GB2312" w:hAnsi="仿宋_GB2312" w:eastAsia="仿宋_GB2312" w:cs="仿宋_GB2312"/>
          <w:color w:val="auto"/>
          <w:kern w:val="2"/>
          <w:sz w:val="30"/>
          <w:szCs w:val="30"/>
          <w:highlight w:val="none"/>
          <w:u w:val="none"/>
          <w:lang w:val="en-US" w:eastAsia="zh-CN"/>
        </w:rPr>
        <w:t>与</w:t>
      </w:r>
      <w:r>
        <w:rPr>
          <w:rFonts w:hint="eastAsia" w:ascii="仿宋_GB2312" w:hAnsi="仿宋_GB2312" w:eastAsia="仿宋_GB2312" w:cs="仿宋_GB2312"/>
          <w:color w:val="auto"/>
          <w:kern w:val="2"/>
          <w:sz w:val="30"/>
          <w:szCs w:val="30"/>
          <w:highlight w:val="none"/>
          <w:u w:val="none"/>
        </w:rPr>
        <w:t>深圳公共资源交易中心无利益关系，不会为达成此项目与医疗机构进行任何不正当联系，不会在申报过程中有任何违法违规行为</w:t>
      </w:r>
      <w:r>
        <w:rPr>
          <w:rFonts w:hint="eastAsia" w:ascii="仿宋_GB2312" w:hAnsi="仿宋_GB2312" w:eastAsia="仿宋_GB2312" w:cs="仿宋_GB2312"/>
          <w:color w:val="auto"/>
          <w:kern w:val="2"/>
          <w:sz w:val="30"/>
          <w:szCs w:val="30"/>
          <w:highlight w:val="none"/>
          <w:u w:val="none"/>
          <w:lang w:eastAsia="zh-CN"/>
        </w:rPr>
        <w:t>，</w:t>
      </w:r>
      <w:r>
        <w:rPr>
          <w:rFonts w:hint="eastAsia" w:ascii="仿宋_GB2312" w:hAnsi="仿宋_GB2312" w:eastAsia="仿宋_GB2312" w:cs="仿宋_GB2312"/>
          <w:color w:val="auto"/>
          <w:kern w:val="2"/>
          <w:sz w:val="30"/>
          <w:szCs w:val="30"/>
          <w:highlight w:val="none"/>
          <w:u w:val="none"/>
          <w:lang w:val="en-US" w:eastAsia="zh-CN"/>
        </w:rPr>
        <w:t>不会在递交申报报价后撤回申报</w:t>
      </w:r>
      <w:r>
        <w:rPr>
          <w:rFonts w:hint="eastAsia" w:ascii="仿宋_GB2312" w:hAnsi="仿宋_GB2312" w:eastAsia="仿宋_GB2312" w:cs="仿宋_GB2312"/>
          <w:color w:val="auto"/>
          <w:kern w:val="2"/>
          <w:sz w:val="30"/>
          <w:szCs w:val="30"/>
          <w:highlight w:val="none"/>
          <w:u w:val="none"/>
        </w:rPr>
        <w:t>。在正式采购协议签订前，本申报函和中选结果通知将构成约束双方的协议。</w:t>
      </w:r>
    </w:p>
    <w:p w14:paraId="56D1AB3E">
      <w:pPr>
        <w:keepNext w:val="0"/>
        <w:keepLines w:val="0"/>
        <w:pageBreakBefore w:val="0"/>
        <w:widowControl w:val="0"/>
        <w:kinsoku/>
        <w:wordWrap/>
        <w:overflowPunct/>
        <w:topLinePunct w:val="0"/>
        <w:autoSpaceDE/>
        <w:autoSpaceDN/>
        <w:bidi w:val="0"/>
        <w:adjustRightInd/>
        <w:snapToGrid/>
        <w:spacing w:line="360" w:lineRule="exact"/>
        <w:ind w:left="0" w:firstLine="600" w:firstLineChars="200"/>
        <w:jc w:val="center"/>
        <w:textAlignment w:val="auto"/>
        <w:rPr>
          <w:rFonts w:hint="eastAsia" w:ascii="仿宋_GB2312" w:hAnsi="仿宋_GB2312" w:eastAsia="仿宋_GB2312" w:cs="仿宋_GB2312"/>
          <w:color w:val="auto"/>
          <w:kern w:val="2"/>
          <w:sz w:val="30"/>
          <w:szCs w:val="30"/>
          <w:highlight w:val="none"/>
          <w:u w:val="none"/>
          <w:lang w:val="en-US" w:eastAsia="zh-CN"/>
        </w:rPr>
      </w:pPr>
      <w:r>
        <w:rPr>
          <w:rFonts w:hint="eastAsia" w:ascii="仿宋_GB2312" w:hAnsi="仿宋_GB2312" w:eastAsia="仿宋_GB2312" w:cs="仿宋_GB2312"/>
          <w:color w:val="auto"/>
          <w:kern w:val="2"/>
          <w:sz w:val="30"/>
          <w:szCs w:val="30"/>
          <w:highlight w:val="none"/>
          <w:u w:val="none"/>
          <w:lang w:val="en-US" w:eastAsia="zh-CN"/>
        </w:rPr>
        <w:t xml:space="preserve">                  </w:t>
      </w:r>
    </w:p>
    <w:p w14:paraId="1D43D1C7">
      <w:pPr>
        <w:keepNext w:val="0"/>
        <w:keepLines w:val="0"/>
        <w:pageBreakBefore w:val="0"/>
        <w:widowControl w:val="0"/>
        <w:kinsoku/>
        <w:wordWrap/>
        <w:overflowPunct/>
        <w:topLinePunct w:val="0"/>
        <w:autoSpaceDE/>
        <w:autoSpaceDN/>
        <w:bidi w:val="0"/>
        <w:adjustRightInd/>
        <w:snapToGrid/>
        <w:spacing w:line="360" w:lineRule="exact"/>
        <w:ind w:left="0" w:firstLine="600" w:firstLineChars="200"/>
        <w:jc w:val="center"/>
        <w:textAlignment w:val="auto"/>
        <w:rPr>
          <w:rFonts w:hint="eastAsia" w:ascii="仿宋_GB2312" w:hAnsi="仿宋_GB2312" w:eastAsia="仿宋_GB2312" w:cs="仿宋_GB2312"/>
          <w:color w:val="auto"/>
          <w:kern w:val="2"/>
          <w:sz w:val="30"/>
          <w:szCs w:val="30"/>
          <w:highlight w:val="none"/>
          <w:u w:val="none"/>
          <w:lang w:val="en-US" w:eastAsia="zh-CN"/>
        </w:rPr>
      </w:pPr>
      <w:r>
        <w:rPr>
          <w:rFonts w:hint="eastAsia" w:ascii="仿宋_GB2312" w:hAnsi="仿宋_GB2312" w:eastAsia="仿宋_GB2312" w:cs="仿宋_GB2312"/>
          <w:color w:val="auto"/>
          <w:kern w:val="2"/>
          <w:sz w:val="30"/>
          <w:szCs w:val="30"/>
          <w:highlight w:val="none"/>
          <w:u w:val="none"/>
        </w:rPr>
        <w:t>申报企业（盖章）：</w:t>
      </w:r>
      <w:r>
        <w:rPr>
          <w:rFonts w:hint="eastAsia" w:ascii="仿宋_GB2312" w:hAnsi="仿宋_GB2312" w:eastAsia="仿宋_GB2312" w:cs="仿宋_GB2312"/>
          <w:color w:val="auto"/>
          <w:kern w:val="2"/>
          <w:sz w:val="30"/>
          <w:szCs w:val="30"/>
          <w:highlight w:val="none"/>
          <w:u w:val="none"/>
          <w:lang w:val="en-US" w:eastAsia="zh-CN"/>
        </w:rPr>
        <w:t xml:space="preserve">                 </w:t>
      </w:r>
    </w:p>
    <w:p w14:paraId="64820B3B">
      <w:pPr>
        <w:keepNext w:val="0"/>
        <w:keepLines w:val="0"/>
        <w:pageBreakBefore w:val="0"/>
        <w:widowControl w:val="0"/>
        <w:kinsoku/>
        <w:wordWrap/>
        <w:overflowPunct/>
        <w:topLinePunct w:val="0"/>
        <w:autoSpaceDE/>
        <w:autoSpaceDN/>
        <w:bidi w:val="0"/>
        <w:adjustRightInd/>
        <w:snapToGrid/>
        <w:spacing w:line="360" w:lineRule="exact"/>
        <w:ind w:left="0" w:firstLine="600" w:firstLineChars="200"/>
        <w:jc w:val="right"/>
        <w:textAlignment w:val="auto"/>
        <w:rPr>
          <w:rFonts w:hint="eastAsia" w:ascii="仿宋_GB2312" w:hAnsi="仿宋_GB2312" w:eastAsia="仿宋_GB2312" w:cs="仿宋_GB2312"/>
          <w:color w:val="auto"/>
          <w:kern w:val="2"/>
          <w:sz w:val="30"/>
          <w:szCs w:val="30"/>
          <w:highlight w:val="none"/>
          <w:u w:val="none"/>
          <w:lang w:val="en-US" w:eastAsia="zh-CN"/>
        </w:rPr>
      </w:pPr>
    </w:p>
    <w:p w14:paraId="4FDE14F3">
      <w:pPr>
        <w:keepNext w:val="0"/>
        <w:keepLines w:val="0"/>
        <w:pageBreakBefore w:val="0"/>
        <w:widowControl w:val="0"/>
        <w:kinsoku/>
        <w:wordWrap/>
        <w:overflowPunct/>
        <w:topLinePunct w:val="0"/>
        <w:autoSpaceDE/>
        <w:autoSpaceDN/>
        <w:bidi w:val="0"/>
        <w:adjustRightInd/>
        <w:snapToGrid/>
        <w:spacing w:line="360" w:lineRule="exact"/>
        <w:ind w:left="0" w:firstLine="600" w:firstLineChars="200"/>
        <w:jc w:val="right"/>
        <w:textAlignment w:val="auto"/>
        <w:rPr>
          <w:rFonts w:hint="default" w:ascii="仿宋_GB2312" w:hAnsi="仿宋_GB2312" w:eastAsia="仿宋_GB2312" w:cs="仿宋_GB2312"/>
          <w:color w:val="auto"/>
          <w:kern w:val="2"/>
          <w:sz w:val="30"/>
          <w:szCs w:val="30"/>
          <w:highlight w:val="none"/>
          <w:u w:val="none"/>
          <w:lang w:val="en-US" w:eastAsia="zh-CN"/>
        </w:rPr>
      </w:pPr>
      <w:r>
        <w:rPr>
          <w:rFonts w:hint="eastAsia" w:ascii="仿宋_GB2312" w:hAnsi="仿宋_GB2312" w:eastAsia="仿宋_GB2312" w:cs="仿宋_GB2312"/>
          <w:color w:val="auto"/>
          <w:kern w:val="2"/>
          <w:sz w:val="30"/>
          <w:szCs w:val="30"/>
          <w:highlight w:val="none"/>
          <w:u w:val="none"/>
          <w:lang w:val="en-US" w:eastAsia="zh-CN"/>
        </w:rPr>
        <w:t xml:space="preserve">           </w:t>
      </w:r>
    </w:p>
    <w:p w14:paraId="5217B452">
      <w:pPr>
        <w:keepNext w:val="0"/>
        <w:keepLines w:val="0"/>
        <w:pageBreakBefore w:val="0"/>
        <w:widowControl w:val="0"/>
        <w:kinsoku/>
        <w:wordWrap w:val="0"/>
        <w:overflowPunct/>
        <w:topLinePunct w:val="0"/>
        <w:autoSpaceDE/>
        <w:autoSpaceDN/>
        <w:bidi w:val="0"/>
        <w:adjustRightInd/>
        <w:snapToGrid/>
        <w:spacing w:line="360" w:lineRule="exact"/>
        <w:ind w:left="0" w:firstLine="600" w:firstLineChars="200"/>
        <w:jc w:val="right"/>
        <w:textAlignment w:val="auto"/>
        <w:rPr>
          <w:rFonts w:hint="default" w:ascii="黑体" w:hAnsi="黑体" w:eastAsia="黑体" w:cs="黑体"/>
          <w:color w:val="auto"/>
          <w:kern w:val="2"/>
          <w:sz w:val="28"/>
          <w:szCs w:val="28"/>
          <w:highlight w:val="none"/>
          <w:u w:val="none"/>
          <w:lang w:val="en-US"/>
        </w:rPr>
      </w:pPr>
      <w:r>
        <w:rPr>
          <w:rFonts w:hint="eastAsia" w:ascii="仿宋_GB2312" w:hAnsi="仿宋_GB2312" w:eastAsia="仿宋_GB2312" w:cs="仿宋_GB2312"/>
          <w:color w:val="auto"/>
          <w:kern w:val="2"/>
          <w:sz w:val="30"/>
          <w:szCs w:val="30"/>
          <w:highlight w:val="none"/>
          <w:u w:val="none"/>
        </w:rPr>
        <w:t>日期：</w:t>
      </w:r>
      <w:r>
        <w:rPr>
          <w:rFonts w:hint="eastAsia" w:ascii="仿宋_GB2312" w:hAnsi="仿宋_GB2312" w:eastAsia="仿宋_GB2312" w:cs="仿宋_GB2312"/>
          <w:color w:val="auto"/>
          <w:kern w:val="2"/>
          <w:sz w:val="30"/>
          <w:szCs w:val="30"/>
          <w:highlight w:val="none"/>
          <w:u w:val="none"/>
          <w:lang w:val="en-US" w:eastAsia="zh-CN"/>
        </w:rPr>
        <w:t xml:space="preserve">     </w:t>
      </w:r>
      <w:r>
        <w:rPr>
          <w:rFonts w:hint="eastAsia" w:ascii="仿宋_GB2312" w:hAnsi="仿宋_GB2312" w:eastAsia="仿宋_GB2312" w:cs="仿宋_GB2312"/>
          <w:color w:val="auto"/>
          <w:kern w:val="2"/>
          <w:sz w:val="30"/>
          <w:szCs w:val="30"/>
          <w:highlight w:val="none"/>
          <w:u w:val="none"/>
        </w:rPr>
        <w:t>年</w:t>
      </w:r>
      <w:r>
        <w:rPr>
          <w:rFonts w:hint="eastAsia" w:ascii="仿宋_GB2312" w:hAnsi="仿宋_GB2312" w:eastAsia="仿宋_GB2312" w:cs="仿宋_GB2312"/>
          <w:color w:val="auto"/>
          <w:kern w:val="2"/>
          <w:sz w:val="30"/>
          <w:szCs w:val="30"/>
          <w:highlight w:val="none"/>
          <w:u w:val="none"/>
          <w:lang w:val="en-US" w:eastAsia="zh-CN"/>
        </w:rPr>
        <w:t xml:space="preserve">    </w:t>
      </w:r>
      <w:r>
        <w:rPr>
          <w:rFonts w:hint="eastAsia" w:ascii="仿宋_GB2312" w:hAnsi="仿宋_GB2312" w:eastAsia="仿宋_GB2312" w:cs="仿宋_GB2312"/>
          <w:color w:val="auto"/>
          <w:kern w:val="2"/>
          <w:sz w:val="30"/>
          <w:szCs w:val="30"/>
          <w:highlight w:val="none"/>
          <w:u w:val="none"/>
        </w:rPr>
        <w:t>月</w:t>
      </w:r>
      <w:r>
        <w:rPr>
          <w:rFonts w:hint="eastAsia" w:ascii="仿宋_GB2312" w:hAnsi="仿宋_GB2312" w:eastAsia="仿宋_GB2312" w:cs="仿宋_GB2312"/>
          <w:color w:val="auto"/>
          <w:kern w:val="2"/>
          <w:sz w:val="30"/>
          <w:szCs w:val="30"/>
          <w:highlight w:val="none"/>
          <w:u w:val="none"/>
          <w:lang w:val="en-US" w:eastAsia="zh-CN"/>
        </w:rPr>
        <w:t xml:space="preserve">     日         </w:t>
      </w:r>
    </w:p>
    <w:p w14:paraId="25BF75D5">
      <w:pPr>
        <w:rPr>
          <w:rFonts w:hint="eastAsia" w:ascii="黑体" w:hAnsi="黑体" w:eastAsia="黑体" w:cs="黑体"/>
          <w:color w:val="auto"/>
          <w:kern w:val="2"/>
          <w:sz w:val="32"/>
          <w:szCs w:val="32"/>
          <w:highlight w:val="none"/>
          <w:u w:val="none"/>
        </w:rPr>
      </w:pPr>
      <w:r>
        <w:rPr>
          <w:rFonts w:hint="eastAsia" w:ascii="黑体" w:hAnsi="黑体" w:eastAsia="黑体" w:cs="黑体"/>
          <w:color w:val="auto"/>
          <w:kern w:val="2"/>
          <w:sz w:val="32"/>
          <w:szCs w:val="32"/>
          <w:highlight w:val="none"/>
          <w:u w:val="none"/>
        </w:rPr>
        <w:br w:type="page"/>
      </w:r>
    </w:p>
    <w:p w14:paraId="55F6FF3C">
      <w:pPr>
        <w:pageBreakBefore w:val="0"/>
        <w:kinsoku/>
        <w:topLinePunct w:val="0"/>
        <w:bidi w:val="0"/>
        <w:spacing w:line="520" w:lineRule="exact"/>
        <w:ind w:left="0"/>
        <w:jc w:val="both"/>
        <w:textAlignment w:val="auto"/>
        <w:outlineLvl w:val="1"/>
        <w:rPr>
          <w:rFonts w:hint="eastAsia" w:ascii="黑体" w:hAnsi="黑体" w:eastAsia="黑体" w:cs="黑体"/>
          <w:color w:val="auto"/>
          <w:kern w:val="2"/>
          <w:sz w:val="32"/>
          <w:szCs w:val="32"/>
          <w:highlight w:val="none"/>
          <w:u w:val="none"/>
          <w:lang w:val="en-US" w:eastAsia="zh-CN"/>
        </w:rPr>
      </w:pPr>
      <w:bookmarkStart w:id="503" w:name="_Toc4821"/>
      <w:bookmarkStart w:id="504" w:name="_Toc7912"/>
      <w:bookmarkStart w:id="505" w:name="_Toc25154"/>
      <w:bookmarkStart w:id="506" w:name="_Toc4115"/>
      <w:bookmarkStart w:id="507" w:name="_Toc16655"/>
      <w:bookmarkStart w:id="508" w:name="_Toc25113"/>
      <w:bookmarkStart w:id="509" w:name="_Toc5213"/>
      <w:r>
        <w:rPr>
          <w:rFonts w:hint="eastAsia" w:ascii="黑体" w:hAnsi="黑体" w:eastAsia="黑体" w:cs="黑体"/>
          <w:color w:val="auto"/>
          <w:kern w:val="2"/>
          <w:sz w:val="32"/>
          <w:szCs w:val="32"/>
          <w:highlight w:val="none"/>
          <w:u w:val="none"/>
        </w:rPr>
        <w:t>附件</w:t>
      </w:r>
      <w:bookmarkEnd w:id="502"/>
      <w:bookmarkEnd w:id="503"/>
      <w:bookmarkEnd w:id="504"/>
      <w:bookmarkEnd w:id="505"/>
      <w:bookmarkEnd w:id="506"/>
      <w:bookmarkEnd w:id="507"/>
      <w:bookmarkEnd w:id="508"/>
      <w:r>
        <w:rPr>
          <w:rFonts w:hint="eastAsia" w:ascii="黑体" w:hAnsi="黑体" w:eastAsia="黑体" w:cs="黑体"/>
          <w:color w:val="auto"/>
          <w:kern w:val="2"/>
          <w:sz w:val="32"/>
          <w:szCs w:val="32"/>
          <w:highlight w:val="none"/>
          <w:u w:val="none"/>
          <w:lang w:val="en-US" w:eastAsia="zh-CN"/>
        </w:rPr>
        <w:t>4</w:t>
      </w:r>
      <w:bookmarkEnd w:id="509"/>
    </w:p>
    <w:p w14:paraId="53722359">
      <w:pPr>
        <w:pageBreakBefore w:val="0"/>
        <w:kinsoku/>
        <w:topLinePunct w:val="0"/>
        <w:bidi w:val="0"/>
        <w:spacing w:line="520" w:lineRule="exact"/>
        <w:ind w:left="0"/>
        <w:jc w:val="center"/>
        <w:textAlignment w:val="auto"/>
        <w:rPr>
          <w:rFonts w:ascii="方正小标宋简体" w:hAnsi="方正小标宋简体" w:eastAsia="方正小标宋简体" w:cs="方正小标宋简体"/>
          <w:b w:val="0"/>
          <w:bCs w:val="0"/>
          <w:color w:val="auto"/>
          <w:kern w:val="2"/>
          <w:sz w:val="44"/>
          <w:szCs w:val="44"/>
          <w:highlight w:val="none"/>
          <w:u w:val="none"/>
        </w:rPr>
      </w:pPr>
      <w:r>
        <w:rPr>
          <w:rFonts w:ascii="方正小标宋简体" w:hAnsi="方正小标宋简体" w:eastAsia="方正小标宋简体" w:cs="方正小标宋简体"/>
          <w:b w:val="0"/>
          <w:bCs w:val="0"/>
          <w:color w:val="auto"/>
          <w:kern w:val="2"/>
          <w:sz w:val="44"/>
          <w:szCs w:val="44"/>
          <w:highlight w:val="none"/>
          <w:u w:val="none"/>
        </w:rPr>
        <w:t>医药企业价格和营销行为信用承诺书</w:t>
      </w:r>
    </w:p>
    <w:p w14:paraId="47297813">
      <w:pPr>
        <w:keepNext w:val="0"/>
        <w:keepLines w:val="0"/>
        <w:pageBreakBefore w:val="0"/>
        <w:widowControl w:val="0"/>
        <w:kinsoku/>
        <w:overflowPunct/>
        <w:topLinePunct w:val="0"/>
        <w:autoSpaceDE/>
        <w:autoSpaceDN/>
        <w:bidi w:val="0"/>
        <w:adjustRightInd/>
        <w:snapToGrid/>
        <w:spacing w:line="520" w:lineRule="exact"/>
        <w:ind w:left="0"/>
        <w:jc w:val="both"/>
        <w:textAlignment w:val="auto"/>
        <w:rPr>
          <w:rFonts w:hint="eastAsia" w:ascii="仿宋_GB2312" w:hAnsi="仿宋_GB2312" w:eastAsia="仿宋_GB2312" w:cs="仿宋_GB2312"/>
          <w:color w:val="auto"/>
          <w:kern w:val="2"/>
          <w:sz w:val="28"/>
          <w:szCs w:val="28"/>
          <w:highlight w:val="none"/>
          <w:u w:val="none"/>
        </w:rPr>
      </w:pPr>
    </w:p>
    <w:p w14:paraId="1E2F5076">
      <w:pPr>
        <w:keepNext w:val="0"/>
        <w:keepLines w:val="0"/>
        <w:pageBreakBefore w:val="0"/>
        <w:widowControl w:val="0"/>
        <w:kinsoku/>
        <w:overflowPunct/>
        <w:topLinePunct w:val="0"/>
        <w:autoSpaceDE/>
        <w:autoSpaceDN/>
        <w:bidi w:val="0"/>
        <w:adjustRightInd/>
        <w:snapToGrid/>
        <w:spacing w:line="520" w:lineRule="exact"/>
        <w:ind w:left="0"/>
        <w:jc w:val="both"/>
        <w:textAlignment w:val="auto"/>
        <w:rPr>
          <w:rFonts w:ascii="等线" w:hAnsi="等线" w:eastAsia="等线" w:cs="Times New Roman"/>
          <w:color w:val="auto"/>
          <w:kern w:val="2"/>
          <w:sz w:val="32"/>
          <w:szCs w:val="32"/>
          <w:highlight w:val="none"/>
          <w:u w:val="none"/>
        </w:rPr>
      </w:pPr>
      <w:r>
        <w:rPr>
          <w:rFonts w:hint="eastAsia" w:ascii="仿宋_GB2312" w:hAnsi="仿宋_GB2312" w:eastAsia="仿宋_GB2312" w:cs="仿宋_GB2312"/>
          <w:color w:val="auto"/>
          <w:kern w:val="2"/>
          <w:sz w:val="32"/>
          <w:szCs w:val="32"/>
          <w:highlight w:val="none"/>
          <w:u w:val="none"/>
        </w:rPr>
        <w:t>深圳公共资源交易中心</w:t>
      </w:r>
      <w:r>
        <w:rPr>
          <w:rFonts w:hint="eastAsia" w:ascii="仿宋_GB2312" w:hAnsi="仿宋_GB2312" w:eastAsia="仿宋_GB2312" w:cs="仿宋_GB2312"/>
          <w:color w:val="auto"/>
          <w:kern w:val="0"/>
          <w:sz w:val="32"/>
          <w:szCs w:val="32"/>
          <w:highlight w:val="none"/>
          <w:u w:val="none"/>
          <w:lang w:val="zh-CN" w:bidi="zh-CN"/>
        </w:rPr>
        <w:t>：</w:t>
      </w:r>
    </w:p>
    <w:p w14:paraId="70FB2237">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ascii="仿宋_GB2312" w:hAnsi="仿宋_GB2312" w:eastAsia="仿宋_GB2312" w:cs="仿宋_GB2312"/>
          <w:color w:val="auto"/>
          <w:kern w:val="2"/>
          <w:sz w:val="32"/>
          <w:szCs w:val="32"/>
          <w:highlight w:val="none"/>
          <w:u w:val="none"/>
        </w:rPr>
      </w:pPr>
      <w:r>
        <w:rPr>
          <w:rFonts w:ascii="仿宋_GB2312" w:hAnsi="仿宋_GB2312" w:eastAsia="仿宋_GB2312" w:cs="仿宋_GB2312"/>
          <w:color w:val="auto"/>
          <w:kern w:val="2"/>
          <w:sz w:val="32"/>
          <w:szCs w:val="32"/>
          <w:highlight w:val="none"/>
          <w:u w:val="none"/>
        </w:rPr>
        <w:t>我方</w:t>
      </w:r>
      <w:r>
        <w:rPr>
          <w:rFonts w:hint="eastAsia" w:ascii="仿宋_GB2312" w:hAnsi="仿宋_GB2312" w:eastAsia="仿宋_GB2312" w:cs="仿宋_GB2312"/>
          <w:color w:val="auto"/>
          <w:kern w:val="2"/>
          <w:sz w:val="32"/>
          <w:szCs w:val="32"/>
          <w:highlight w:val="none"/>
          <w:u w:val="single"/>
        </w:rPr>
        <w:t xml:space="preserve">                  （×××公司）</w:t>
      </w:r>
      <w:r>
        <w:rPr>
          <w:rFonts w:ascii="仿宋_GB2312" w:hAnsi="仿宋_GB2312" w:eastAsia="仿宋_GB2312" w:cs="仿宋_GB2312"/>
          <w:color w:val="auto"/>
          <w:kern w:val="2"/>
          <w:sz w:val="32"/>
          <w:szCs w:val="32"/>
          <w:highlight w:val="none"/>
          <w:u w:val="none"/>
        </w:rPr>
        <w:t>，就</w:t>
      </w:r>
      <w:r>
        <w:rPr>
          <w:rFonts w:hint="eastAsia" w:ascii="仿宋_GB2312" w:hAnsi="仿宋_GB2312" w:eastAsia="仿宋_GB2312" w:cs="仿宋_GB2312"/>
          <w:color w:val="auto"/>
          <w:kern w:val="2"/>
          <w:sz w:val="32"/>
          <w:szCs w:val="32"/>
          <w:highlight w:val="none"/>
          <w:u w:val="none"/>
          <w:lang w:val="en-US" w:eastAsia="zh-CN"/>
        </w:rPr>
        <w:t>参加广东省血流导向密网支架类医用耗材带量联动采购</w:t>
      </w:r>
      <w:r>
        <w:rPr>
          <w:rFonts w:hint="eastAsia" w:ascii="仿宋_GB2312" w:hAnsi="仿宋_GB2312" w:eastAsia="仿宋_GB2312" w:cs="仿宋_GB2312"/>
          <w:color w:val="auto"/>
          <w:kern w:val="2"/>
          <w:sz w:val="32"/>
          <w:szCs w:val="32"/>
          <w:highlight w:val="none"/>
          <w:u w:val="none"/>
          <w:lang w:eastAsia="zh-CN"/>
        </w:rPr>
        <w:t>（</w:t>
      </w:r>
      <w:r>
        <w:rPr>
          <w:rFonts w:hint="eastAsia" w:ascii="仿宋_GB2312" w:hAnsi="仿宋_GB2312" w:eastAsia="仿宋_GB2312" w:cs="仿宋_GB2312"/>
          <w:color w:val="auto"/>
          <w:kern w:val="2"/>
          <w:sz w:val="32"/>
          <w:szCs w:val="32"/>
          <w:highlight w:val="none"/>
          <w:u w:val="none"/>
          <w:lang w:val="en-US" w:eastAsia="zh-CN"/>
        </w:rPr>
        <w:t>以下简称密网支架带量联动采购</w:t>
      </w:r>
      <w:r>
        <w:rPr>
          <w:rFonts w:hint="eastAsia" w:ascii="仿宋_GB2312" w:hAnsi="仿宋_GB2312" w:eastAsia="仿宋_GB2312" w:cs="仿宋_GB2312"/>
          <w:color w:val="auto"/>
          <w:kern w:val="2"/>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zh-CN" w:bidi="zh-CN"/>
        </w:rPr>
        <w:t>，</w:t>
      </w:r>
      <w:r>
        <w:rPr>
          <w:rFonts w:ascii="仿宋_GB2312" w:hAnsi="仿宋_GB2312" w:eastAsia="仿宋_GB2312" w:cs="仿宋_GB2312"/>
          <w:color w:val="auto"/>
          <w:kern w:val="2"/>
          <w:sz w:val="32"/>
          <w:szCs w:val="32"/>
          <w:highlight w:val="none"/>
          <w:u w:val="none"/>
        </w:rPr>
        <w:t>郑重做出以下承诺：</w:t>
      </w:r>
    </w:p>
    <w:p w14:paraId="79D7857A">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ascii="黑体" w:hAnsi="黑体" w:eastAsia="黑体" w:cs="黑体"/>
          <w:b w:val="0"/>
          <w:bCs w:val="0"/>
          <w:color w:val="auto"/>
          <w:kern w:val="0"/>
          <w:sz w:val="32"/>
          <w:szCs w:val="32"/>
          <w:highlight w:val="none"/>
          <w:u w:val="none"/>
          <w:lang w:val="zh-CN" w:bidi="zh-CN"/>
        </w:rPr>
      </w:pPr>
      <w:r>
        <w:rPr>
          <w:rFonts w:ascii="黑体" w:hAnsi="黑体" w:eastAsia="黑体" w:cs="黑体"/>
          <w:b w:val="0"/>
          <w:bCs w:val="0"/>
          <w:color w:val="auto"/>
          <w:kern w:val="0"/>
          <w:sz w:val="32"/>
          <w:szCs w:val="32"/>
          <w:highlight w:val="none"/>
          <w:u w:val="none"/>
          <w:lang w:val="zh-CN" w:bidi="zh-CN"/>
        </w:rPr>
        <w:t>一、严守法纪、恪守诚信</w:t>
      </w:r>
    </w:p>
    <w:p w14:paraId="48FD5B9A">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ascii="仿宋_GB2312" w:hAnsi="仿宋_GB2312" w:eastAsia="仿宋_GB2312" w:cs="仿宋_GB2312"/>
          <w:color w:val="auto"/>
          <w:kern w:val="0"/>
          <w:sz w:val="32"/>
          <w:szCs w:val="32"/>
          <w:highlight w:val="none"/>
          <w:u w:val="none"/>
          <w:lang w:val="zh-CN" w:bidi="zh-CN"/>
        </w:rPr>
      </w:pPr>
      <w:r>
        <w:rPr>
          <w:rFonts w:ascii="仿宋_GB2312" w:hAnsi="仿宋_GB2312" w:eastAsia="仿宋_GB2312" w:cs="仿宋_GB2312"/>
          <w:color w:val="auto"/>
          <w:kern w:val="0"/>
          <w:sz w:val="32"/>
          <w:szCs w:val="32"/>
          <w:highlight w:val="none"/>
          <w:u w:val="none"/>
          <w:lang w:val="zh-CN" w:bidi="zh-CN"/>
        </w:rPr>
        <w:t>（一）我方承诺，自觉遵守《民法典》《价格法》《反不正当竞争法》《反垄断法》等法律法规，医药价格和招标采购的政策，以及</w:t>
      </w:r>
      <w:r>
        <w:rPr>
          <w:rFonts w:hint="eastAsia" w:ascii="仿宋_GB2312" w:hAnsi="仿宋_GB2312" w:eastAsia="仿宋_GB2312" w:cs="仿宋_GB2312"/>
          <w:color w:val="auto"/>
          <w:kern w:val="2"/>
          <w:sz w:val="32"/>
          <w:szCs w:val="32"/>
          <w:highlight w:val="none"/>
          <w:u w:val="none"/>
          <w:lang w:val="en-US" w:eastAsia="zh-CN"/>
        </w:rPr>
        <w:t>广东省血流导向密网支架类医用耗材带量联动</w:t>
      </w:r>
      <w:r>
        <w:rPr>
          <w:rFonts w:ascii="仿宋_GB2312" w:hAnsi="仿宋_GB2312" w:eastAsia="仿宋_GB2312" w:cs="仿宋_GB2312"/>
          <w:color w:val="auto"/>
          <w:kern w:val="0"/>
          <w:sz w:val="32"/>
          <w:szCs w:val="32"/>
          <w:highlight w:val="none"/>
          <w:u w:val="none"/>
          <w:lang w:val="zh-CN" w:bidi="zh-CN"/>
        </w:rPr>
        <w:t>相关文件之规定，诚信经营，共同营造公平的交易环境。</w:t>
      </w:r>
    </w:p>
    <w:p w14:paraId="763960D8">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ascii="仿宋_GB2312" w:hAnsi="仿宋_GB2312" w:eastAsia="仿宋_GB2312" w:cs="仿宋_GB2312"/>
          <w:color w:val="auto"/>
          <w:kern w:val="0"/>
          <w:sz w:val="32"/>
          <w:szCs w:val="32"/>
          <w:highlight w:val="none"/>
          <w:u w:val="none"/>
          <w:lang w:val="zh-CN" w:bidi="zh-CN"/>
        </w:rPr>
      </w:pPr>
      <w:r>
        <w:rPr>
          <w:rFonts w:ascii="仿宋_GB2312" w:hAnsi="仿宋_GB2312" w:eastAsia="仿宋_GB2312" w:cs="仿宋_GB2312"/>
          <w:color w:val="auto"/>
          <w:kern w:val="0"/>
          <w:sz w:val="32"/>
          <w:szCs w:val="32"/>
          <w:highlight w:val="none"/>
          <w:u w:val="none"/>
          <w:lang w:val="zh-CN" w:bidi="zh-CN"/>
        </w:rPr>
        <w:t>（二）我方承诺，不向采购我方医用耗材的医疗机构管理人员、采购人员、医师等有关人员给予回扣或其他不正当利益。</w:t>
      </w:r>
    </w:p>
    <w:p w14:paraId="10EDF44B">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bidi="zh-CN"/>
        </w:rPr>
      </w:pPr>
      <w:r>
        <w:rPr>
          <w:rFonts w:hint="eastAsia" w:ascii="仿宋_GB2312" w:hAnsi="仿宋_GB2312" w:eastAsia="仿宋_GB2312" w:cs="仿宋_GB2312"/>
          <w:color w:val="auto"/>
          <w:kern w:val="0"/>
          <w:sz w:val="32"/>
          <w:szCs w:val="32"/>
          <w:highlight w:val="none"/>
          <w:u w:val="none"/>
          <w:lang w:val="en-US" w:eastAsia="zh-CN" w:bidi="zh-CN"/>
        </w:rPr>
        <w:t>（三）我方承诺，若我方申报的产品获得中选资格，采购周期内，如同一中选产品其他省级（省际联盟）带量采购中选价格比本次密网支架带量联动采购中选价格低的，由我方按要求申报进行价格联动；尚未执行完的原签订采购协议的价格一并调整为新的中选价格。若不</w:t>
      </w:r>
      <w:bookmarkStart w:id="510" w:name="_GoBack"/>
      <w:bookmarkEnd w:id="510"/>
      <w:r>
        <w:rPr>
          <w:rFonts w:hint="eastAsia" w:ascii="仿宋_GB2312" w:hAnsi="仿宋_GB2312" w:eastAsia="仿宋_GB2312" w:cs="仿宋_GB2312"/>
          <w:color w:val="auto"/>
          <w:kern w:val="0"/>
          <w:sz w:val="32"/>
          <w:szCs w:val="32"/>
          <w:highlight w:val="none"/>
          <w:u w:val="none"/>
          <w:lang w:val="en-US" w:eastAsia="zh-CN" w:bidi="zh-CN"/>
        </w:rPr>
        <w:t>接受价格联动，我方自愿放弃对应产品的中选资格。</w:t>
      </w:r>
    </w:p>
    <w:p w14:paraId="593FBD0E">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ascii="仿宋_GB2312" w:hAnsi="仿宋_GB2312" w:eastAsia="仿宋_GB2312" w:cs="仿宋_GB2312"/>
          <w:color w:val="auto"/>
          <w:kern w:val="0"/>
          <w:sz w:val="32"/>
          <w:szCs w:val="32"/>
          <w:highlight w:val="none"/>
          <w:u w:val="none"/>
          <w:lang w:val="zh-CN" w:bidi="zh-CN"/>
        </w:rPr>
      </w:pPr>
      <w:r>
        <w:rPr>
          <w:rFonts w:ascii="仿宋_GB2312" w:hAnsi="仿宋_GB2312" w:eastAsia="仿宋_GB2312" w:cs="仿宋_GB2312"/>
          <w:color w:val="auto"/>
          <w:kern w:val="0"/>
          <w:sz w:val="32"/>
          <w:szCs w:val="32"/>
          <w:highlight w:val="none"/>
          <w:u w:val="none"/>
          <w:lang w:val="zh-CN" w:eastAsia="zh-CN" w:bidi="zh-CN"/>
        </w:rPr>
        <w:t>（</w:t>
      </w:r>
      <w:r>
        <w:rPr>
          <w:rFonts w:hint="eastAsia" w:ascii="仿宋_GB2312" w:hAnsi="仿宋_GB2312" w:eastAsia="仿宋_GB2312" w:cs="仿宋_GB2312"/>
          <w:color w:val="auto"/>
          <w:kern w:val="0"/>
          <w:sz w:val="32"/>
          <w:szCs w:val="32"/>
          <w:highlight w:val="none"/>
          <w:u w:val="none"/>
          <w:lang w:val="en-US" w:eastAsia="zh-CN" w:bidi="zh-CN"/>
        </w:rPr>
        <w:t>四</w:t>
      </w:r>
      <w:r>
        <w:rPr>
          <w:rFonts w:ascii="仿宋_GB2312" w:hAnsi="仿宋_GB2312" w:eastAsia="仿宋_GB2312" w:cs="仿宋_GB2312"/>
          <w:color w:val="auto"/>
          <w:kern w:val="0"/>
          <w:sz w:val="32"/>
          <w:szCs w:val="32"/>
          <w:highlight w:val="none"/>
          <w:u w:val="none"/>
          <w:lang w:val="zh-CN" w:eastAsia="zh-CN" w:bidi="zh-CN"/>
        </w:rPr>
        <w:t>）我方承诺，不实施虚开虚受增值税发票及其他形</w:t>
      </w:r>
      <w:r>
        <w:rPr>
          <w:rFonts w:ascii="仿宋_GB2312" w:hAnsi="仿宋_GB2312" w:eastAsia="仿宋_GB2312" w:cs="仿宋_GB2312"/>
          <w:color w:val="auto"/>
          <w:kern w:val="0"/>
          <w:sz w:val="32"/>
          <w:szCs w:val="32"/>
          <w:highlight w:val="none"/>
          <w:u w:val="none"/>
          <w:lang w:val="zh-CN" w:bidi="zh-CN"/>
        </w:rPr>
        <w:t>式虚构服务套现洗钱行为。</w:t>
      </w:r>
    </w:p>
    <w:p w14:paraId="11DB0A2E">
      <w:pPr>
        <w:keepNext w:val="0"/>
        <w:keepLines w:val="0"/>
        <w:pageBreakBefore w:val="0"/>
        <w:widowControl w:val="0"/>
        <w:numPr>
          <w:ilvl w:val="0"/>
          <w:numId w:val="2"/>
        </w:numPr>
        <w:kinsoku/>
        <w:overflowPunct/>
        <w:topLinePunct w:val="0"/>
        <w:autoSpaceDE/>
        <w:autoSpaceDN/>
        <w:bidi w:val="0"/>
        <w:adjustRightInd/>
        <w:snapToGrid/>
        <w:spacing w:line="520" w:lineRule="exact"/>
        <w:ind w:left="0" w:firstLine="640" w:firstLineChars="200"/>
        <w:jc w:val="both"/>
        <w:textAlignment w:val="auto"/>
        <w:rPr>
          <w:rFonts w:ascii="仿宋_GB2312" w:hAnsi="仿宋_GB2312" w:eastAsia="仿宋_GB2312" w:cs="仿宋_GB2312"/>
          <w:color w:val="auto"/>
          <w:kern w:val="0"/>
          <w:sz w:val="32"/>
          <w:szCs w:val="32"/>
          <w:highlight w:val="none"/>
          <w:u w:val="none"/>
          <w:lang w:val="zh-CN" w:bidi="zh-CN"/>
        </w:rPr>
      </w:pPr>
      <w:r>
        <w:rPr>
          <w:rFonts w:ascii="仿宋_GB2312" w:hAnsi="仿宋_GB2312" w:eastAsia="仿宋_GB2312" w:cs="仿宋_GB2312"/>
          <w:color w:val="auto"/>
          <w:kern w:val="0"/>
          <w:sz w:val="32"/>
          <w:szCs w:val="32"/>
          <w:highlight w:val="none"/>
          <w:u w:val="none"/>
          <w:lang w:val="zh-CN" w:bidi="zh-CN"/>
        </w:rPr>
        <w:t>我方承诺，不利用医用耗材垄断地位或市场支配地位，操纵医用耗材价格和供应牟取暴利。不针对不同群体、不同渠道制定实施明显不合理的差异化定价。</w:t>
      </w:r>
    </w:p>
    <w:p w14:paraId="67983234">
      <w:pPr>
        <w:keepNext w:val="0"/>
        <w:keepLines w:val="0"/>
        <w:pageBreakBefore w:val="0"/>
        <w:widowControl w:val="0"/>
        <w:numPr>
          <w:ilvl w:val="0"/>
          <w:numId w:val="2"/>
        </w:numPr>
        <w:kinsoku/>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auto"/>
          <w:kern w:val="0"/>
          <w:sz w:val="32"/>
          <w:szCs w:val="32"/>
          <w:highlight w:val="none"/>
          <w:u w:val="none"/>
          <w:lang w:val="zh-CN" w:bidi="zh-CN"/>
        </w:rPr>
      </w:pPr>
      <w:r>
        <w:rPr>
          <w:rFonts w:hint="eastAsia" w:ascii="仿宋_GB2312" w:hAnsi="仿宋_GB2312" w:eastAsia="仿宋_GB2312" w:cs="仿宋_GB2312"/>
          <w:color w:val="auto"/>
          <w:kern w:val="0"/>
          <w:sz w:val="32"/>
          <w:szCs w:val="32"/>
          <w:highlight w:val="none"/>
          <w:u w:val="none"/>
          <w:lang w:val="zh-CN" w:bidi="zh-CN"/>
        </w:rPr>
        <w:t>我方承诺，若因不可抗力或者其他原因导致</w:t>
      </w:r>
      <w:r>
        <w:rPr>
          <w:rFonts w:hint="eastAsia" w:ascii="仿宋_GB2312" w:hAnsi="仿宋_GB2312" w:eastAsia="仿宋_GB2312" w:cs="仿宋_GB2312"/>
          <w:color w:val="auto"/>
          <w:kern w:val="2"/>
          <w:sz w:val="32"/>
          <w:szCs w:val="32"/>
          <w:highlight w:val="none"/>
          <w:u w:val="none"/>
          <w:lang w:val="en-US" w:eastAsia="zh-CN"/>
        </w:rPr>
        <w:t>广东省血流导向密网支架类医用耗材带量联动采购</w:t>
      </w:r>
      <w:r>
        <w:rPr>
          <w:rFonts w:hint="eastAsia" w:ascii="仿宋_GB2312" w:hAnsi="仿宋_GB2312" w:eastAsia="仿宋_GB2312" w:cs="仿宋_GB2312"/>
          <w:color w:val="auto"/>
          <w:kern w:val="0"/>
          <w:sz w:val="32"/>
          <w:szCs w:val="32"/>
          <w:highlight w:val="none"/>
          <w:u w:val="none"/>
          <w:lang w:val="zh-CN" w:bidi="zh-CN"/>
        </w:rPr>
        <w:t>相关工作无法进行的，我方理解并支持深圳公共资源交易中心</w:t>
      </w:r>
      <w:r>
        <w:rPr>
          <w:rFonts w:hint="eastAsia" w:ascii="仿宋_GB2312" w:hAnsi="仿宋_GB2312" w:eastAsia="仿宋_GB2312" w:cs="仿宋_GB2312"/>
          <w:color w:val="auto"/>
          <w:kern w:val="0"/>
          <w:sz w:val="32"/>
          <w:szCs w:val="32"/>
          <w:highlight w:val="none"/>
          <w:u w:val="none"/>
          <w:lang w:val="en-US" w:bidi="zh-CN"/>
        </w:rPr>
        <w:t>视情况调整相关工作</w:t>
      </w:r>
      <w:r>
        <w:rPr>
          <w:rFonts w:hint="eastAsia" w:ascii="仿宋_GB2312" w:hAnsi="仿宋_GB2312" w:eastAsia="仿宋_GB2312" w:cs="仿宋_GB2312"/>
          <w:color w:val="auto"/>
          <w:kern w:val="0"/>
          <w:sz w:val="32"/>
          <w:szCs w:val="32"/>
          <w:highlight w:val="none"/>
          <w:u w:val="none"/>
          <w:lang w:val="zh-CN" w:bidi="zh-CN"/>
        </w:rPr>
        <w:t>的决定。</w:t>
      </w:r>
    </w:p>
    <w:p w14:paraId="624B68A1">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ascii="黑体" w:hAnsi="黑体" w:eastAsia="黑体" w:cs="黑体"/>
          <w:b w:val="0"/>
          <w:bCs w:val="0"/>
          <w:color w:val="auto"/>
          <w:kern w:val="0"/>
          <w:sz w:val="32"/>
          <w:szCs w:val="32"/>
          <w:highlight w:val="none"/>
          <w:u w:val="none"/>
          <w:lang w:val="zh-CN" w:bidi="zh-CN"/>
        </w:rPr>
      </w:pPr>
      <w:r>
        <w:rPr>
          <w:rFonts w:ascii="黑体" w:hAnsi="黑体" w:eastAsia="黑体" w:cs="黑体"/>
          <w:b w:val="0"/>
          <w:bCs w:val="0"/>
          <w:color w:val="auto"/>
          <w:kern w:val="0"/>
          <w:sz w:val="32"/>
          <w:szCs w:val="32"/>
          <w:highlight w:val="none"/>
          <w:u w:val="none"/>
          <w:lang w:val="zh-CN" w:bidi="zh-CN"/>
        </w:rPr>
        <w:t>二、履行合同、配合监管</w:t>
      </w:r>
    </w:p>
    <w:p w14:paraId="6D590C35">
      <w:pPr>
        <w:keepNext w:val="0"/>
        <w:keepLines w:val="0"/>
        <w:pageBreakBefore w:val="0"/>
        <w:widowControl w:val="0"/>
        <w:kinsoku/>
        <w:topLinePunct w:val="0"/>
        <w:bidi w:val="0"/>
        <w:spacing w:line="52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u w:val="none"/>
          <w:lang w:val="zh-CN" w:bidi="zh-CN"/>
        </w:rPr>
      </w:pPr>
      <w:r>
        <w:rPr>
          <w:rFonts w:ascii="仿宋_GB2312" w:hAnsi="仿宋_GB2312" w:eastAsia="仿宋_GB2312" w:cs="仿宋_GB2312"/>
          <w:color w:val="auto"/>
          <w:kern w:val="0"/>
          <w:sz w:val="32"/>
          <w:szCs w:val="32"/>
          <w:highlight w:val="none"/>
          <w:u w:val="none"/>
          <w:lang w:val="zh-CN" w:bidi="zh-CN"/>
        </w:rPr>
        <w:t>（一）我方承诺，具有履行协议必须具备的医用耗材供应能力，除我方因不可抗的因素造成供应困难外，</w:t>
      </w:r>
      <w:r>
        <w:rPr>
          <w:rFonts w:hint="eastAsia" w:ascii="仿宋_GB2312" w:hAnsi="仿宋_GB2312" w:eastAsia="仿宋_GB2312" w:cs="仿宋_GB2312"/>
          <w:color w:val="auto"/>
          <w:kern w:val="0"/>
          <w:sz w:val="32"/>
          <w:szCs w:val="32"/>
          <w:highlight w:val="none"/>
          <w:u w:val="none"/>
          <w:lang w:val="zh-CN" w:bidi="zh-CN"/>
        </w:rPr>
        <w:t>保证中选产品对应所有规格型号在采购周期</w:t>
      </w:r>
      <w:r>
        <w:rPr>
          <w:rFonts w:hint="eastAsia" w:ascii="仿宋_GB2312" w:hAnsi="仿宋_GB2312" w:eastAsia="仿宋_GB2312" w:cs="仿宋_GB2312"/>
          <w:color w:val="auto"/>
          <w:kern w:val="0"/>
          <w:sz w:val="32"/>
          <w:szCs w:val="32"/>
          <w:highlight w:val="none"/>
          <w:u w:val="none"/>
          <w:lang w:val="en-US" w:bidi="zh-CN"/>
        </w:rPr>
        <w:t>内</w:t>
      </w:r>
      <w:r>
        <w:rPr>
          <w:rFonts w:hint="eastAsia" w:ascii="仿宋_GB2312" w:hAnsi="仿宋_GB2312" w:eastAsia="仿宋_GB2312" w:cs="仿宋_GB2312"/>
          <w:color w:val="auto"/>
          <w:kern w:val="0"/>
          <w:sz w:val="32"/>
          <w:szCs w:val="32"/>
          <w:highlight w:val="none"/>
          <w:u w:val="none"/>
          <w:lang w:val="zh-CN" w:bidi="zh-CN"/>
        </w:rPr>
        <w:t>按照中选价格及时足量保质供应满足</w:t>
      </w:r>
      <w:r>
        <w:rPr>
          <w:rFonts w:hint="eastAsia" w:ascii="仿宋_GB2312" w:hAnsi="仿宋_GB2312" w:eastAsia="仿宋_GB2312" w:cs="仿宋_GB2312"/>
          <w:color w:val="auto"/>
          <w:kern w:val="0"/>
          <w:sz w:val="32"/>
          <w:szCs w:val="32"/>
          <w:highlight w:val="none"/>
          <w:u w:val="none"/>
          <w:lang w:val="en-US" w:bidi="zh-CN"/>
        </w:rPr>
        <w:t>广东省</w:t>
      </w:r>
      <w:r>
        <w:rPr>
          <w:rFonts w:hint="eastAsia" w:ascii="仿宋_GB2312" w:hAnsi="仿宋_GB2312" w:eastAsia="仿宋_GB2312" w:cs="仿宋_GB2312"/>
          <w:color w:val="auto"/>
          <w:kern w:val="0"/>
          <w:sz w:val="32"/>
          <w:szCs w:val="32"/>
          <w:highlight w:val="none"/>
          <w:u w:val="none"/>
          <w:lang w:val="zh-CN" w:bidi="zh-CN"/>
        </w:rPr>
        <w:t>医疗机构采购需求</w:t>
      </w:r>
      <w:r>
        <w:rPr>
          <w:rFonts w:ascii="仿宋_GB2312" w:hAnsi="仿宋_GB2312" w:eastAsia="仿宋_GB2312" w:cs="仿宋_GB2312"/>
          <w:color w:val="auto"/>
          <w:kern w:val="0"/>
          <w:sz w:val="32"/>
          <w:szCs w:val="32"/>
          <w:highlight w:val="none"/>
          <w:u w:val="none"/>
          <w:lang w:val="zh-CN" w:bidi="zh-CN"/>
        </w:rPr>
        <w:t>。</w:t>
      </w:r>
      <w:r>
        <w:rPr>
          <w:rFonts w:hint="eastAsia" w:ascii="仿宋_GB2312" w:hAnsi="仿宋_GB2312" w:eastAsia="仿宋_GB2312" w:cs="仿宋_GB2312"/>
          <w:color w:val="auto"/>
          <w:kern w:val="0"/>
          <w:sz w:val="32"/>
          <w:szCs w:val="32"/>
          <w:highlight w:val="none"/>
          <w:u w:val="none"/>
          <w:lang w:val="zh-CN" w:bidi="zh-CN"/>
        </w:rPr>
        <w:t>若</w:t>
      </w:r>
      <w:r>
        <w:rPr>
          <w:rFonts w:hint="eastAsia" w:ascii="仿宋_GB2312" w:hAnsi="仿宋_GB2312" w:eastAsia="仿宋_GB2312" w:cs="仿宋_GB2312"/>
          <w:color w:val="auto"/>
          <w:kern w:val="0"/>
          <w:sz w:val="32"/>
          <w:szCs w:val="32"/>
          <w:highlight w:val="none"/>
          <w:u w:val="none"/>
          <w:lang w:val="en-US" w:bidi="zh-CN"/>
        </w:rPr>
        <w:t>存在</w:t>
      </w:r>
      <w:r>
        <w:rPr>
          <w:rFonts w:hint="eastAsia" w:ascii="仿宋_GB2312" w:hAnsi="仿宋_GB2312" w:eastAsia="仿宋_GB2312" w:cs="仿宋_GB2312"/>
          <w:color w:val="auto"/>
          <w:kern w:val="0"/>
          <w:sz w:val="32"/>
          <w:szCs w:val="32"/>
          <w:highlight w:val="none"/>
          <w:u w:val="none"/>
          <w:lang w:val="zh-CN" w:bidi="zh-CN"/>
        </w:rPr>
        <w:t>无法保证供应等违背已承诺事项的，</w:t>
      </w:r>
      <w:r>
        <w:rPr>
          <w:rFonts w:hint="eastAsia" w:ascii="仿宋_GB2312" w:hAnsi="仿宋_GB2312" w:eastAsia="仿宋_GB2312" w:cs="仿宋_GB2312"/>
          <w:color w:val="auto"/>
          <w:kern w:val="2"/>
          <w:sz w:val="32"/>
          <w:szCs w:val="32"/>
          <w:highlight w:val="none"/>
          <w:u w:val="none"/>
          <w:lang w:val="en-US" w:eastAsia="zh-CN" w:bidi="ar-SA"/>
        </w:rPr>
        <w:t>经医保部门约谈或</w:t>
      </w:r>
      <w:r>
        <w:rPr>
          <w:rFonts w:hint="eastAsia" w:ascii="仿宋_GB2312" w:hAnsi="仿宋_GB2312" w:eastAsia="仿宋_GB2312" w:cs="仿宋_GB2312"/>
          <w:color w:val="auto"/>
          <w:sz w:val="32"/>
          <w:szCs w:val="32"/>
          <w:highlight w:val="none"/>
          <w:u w:val="none"/>
          <w:lang w:val="en-US" w:eastAsia="zh-CN"/>
        </w:rPr>
        <w:t>集中采购实施</w:t>
      </w:r>
      <w:r>
        <w:rPr>
          <w:rFonts w:hint="eastAsia" w:ascii="仿宋_GB2312" w:hAnsi="仿宋_GB2312" w:eastAsia="仿宋_GB2312" w:cs="仿宋_GB2312"/>
          <w:color w:val="auto"/>
          <w:kern w:val="2"/>
          <w:sz w:val="32"/>
          <w:szCs w:val="32"/>
          <w:highlight w:val="none"/>
          <w:u w:val="none"/>
          <w:lang w:val="en-US" w:eastAsia="zh-CN" w:bidi="ar-SA"/>
        </w:rPr>
        <w:t>机构提醒告诫公告两次及以上仍未整改的</w:t>
      </w:r>
      <w:r>
        <w:rPr>
          <w:rFonts w:hint="eastAsia" w:ascii="仿宋_GB2312" w:hAnsi="仿宋_GB2312" w:eastAsia="仿宋_GB2312" w:cs="仿宋_GB2312"/>
          <w:color w:val="auto"/>
          <w:kern w:val="0"/>
          <w:sz w:val="32"/>
          <w:szCs w:val="32"/>
          <w:highlight w:val="none"/>
          <w:u w:val="none"/>
          <w:lang w:val="zh-CN" w:bidi="zh-CN"/>
        </w:rPr>
        <w:t>，我方愿意接受被取消中选资格、</w:t>
      </w:r>
      <w:r>
        <w:rPr>
          <w:rFonts w:hint="eastAsia" w:ascii="仿宋_GB2312" w:hAnsi="仿宋_GB2312" w:eastAsia="仿宋_GB2312" w:cs="仿宋_GB2312"/>
          <w:color w:val="auto"/>
          <w:kern w:val="0"/>
          <w:sz w:val="32"/>
          <w:szCs w:val="32"/>
          <w:highlight w:val="none"/>
          <w:u w:val="none"/>
          <w:lang w:val="en-US" w:bidi="zh-CN"/>
        </w:rPr>
        <w:t>信用评级</w:t>
      </w:r>
      <w:r>
        <w:rPr>
          <w:rFonts w:hint="eastAsia" w:ascii="仿宋_GB2312" w:hAnsi="仿宋_GB2312" w:eastAsia="仿宋_GB2312" w:cs="仿宋_GB2312"/>
          <w:color w:val="auto"/>
          <w:kern w:val="0"/>
          <w:sz w:val="32"/>
          <w:szCs w:val="32"/>
          <w:highlight w:val="none"/>
          <w:u w:val="none"/>
          <w:lang w:val="zh-CN" w:bidi="zh-CN"/>
        </w:rPr>
        <w:t>结果以及结合信用等级实施的处置措施，并承担因保障供应医疗机构产生的额外支出。</w:t>
      </w:r>
    </w:p>
    <w:p w14:paraId="28462B64">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jc w:val="both"/>
        <w:textAlignment w:val="auto"/>
        <w:rPr>
          <w:rFonts w:ascii="仿宋_GB2312" w:hAnsi="仿宋_GB2312" w:eastAsia="仿宋_GB2312" w:cs="仿宋_GB2312"/>
          <w:color w:val="auto"/>
          <w:kern w:val="0"/>
          <w:sz w:val="32"/>
          <w:szCs w:val="32"/>
          <w:highlight w:val="none"/>
          <w:u w:val="none"/>
          <w:lang w:val="zh-CN" w:bidi="zh-CN"/>
        </w:rPr>
      </w:pPr>
      <w:r>
        <w:rPr>
          <w:rFonts w:ascii="仿宋_GB2312" w:hAnsi="仿宋_GB2312" w:eastAsia="仿宋_GB2312" w:cs="仿宋_GB2312"/>
          <w:color w:val="auto"/>
          <w:kern w:val="0"/>
          <w:sz w:val="32"/>
          <w:szCs w:val="32"/>
          <w:highlight w:val="none"/>
          <w:u w:val="none"/>
          <w:lang w:val="zh-CN" w:bidi="zh-CN"/>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医用耗材价格的，我方承诺在上述情形终止后，及时纠正价格。</w:t>
      </w:r>
    </w:p>
    <w:p w14:paraId="4C84ABE6">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ascii="仿宋_GB2312" w:hAnsi="仿宋_GB2312" w:eastAsia="仿宋_GB2312" w:cs="仿宋_GB2312"/>
          <w:color w:val="auto"/>
          <w:kern w:val="0"/>
          <w:sz w:val="32"/>
          <w:szCs w:val="32"/>
          <w:highlight w:val="none"/>
          <w:u w:val="none"/>
          <w:lang w:val="zh-CN" w:bidi="zh-CN"/>
        </w:rPr>
      </w:pPr>
      <w:r>
        <w:rPr>
          <w:rFonts w:ascii="仿宋_GB2312" w:hAnsi="仿宋_GB2312" w:eastAsia="仿宋_GB2312" w:cs="仿宋_GB2312"/>
          <w:color w:val="auto"/>
          <w:kern w:val="0"/>
          <w:sz w:val="32"/>
          <w:szCs w:val="32"/>
          <w:highlight w:val="none"/>
          <w:u w:val="none"/>
          <w:lang w:val="zh-CN" w:bidi="zh-CN"/>
        </w:rPr>
        <w:t>（三）我方承诺，及时、全面、完整、规范申报失信信息，不漏报，不瞒报，不推诿。</w:t>
      </w:r>
    </w:p>
    <w:p w14:paraId="25A31983">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ascii="黑体" w:hAnsi="黑体" w:eastAsia="黑体" w:cs="黑体"/>
          <w:b w:val="0"/>
          <w:bCs w:val="0"/>
          <w:color w:val="auto"/>
          <w:kern w:val="0"/>
          <w:sz w:val="32"/>
          <w:szCs w:val="32"/>
          <w:highlight w:val="none"/>
          <w:u w:val="none"/>
          <w:lang w:val="zh-CN" w:bidi="zh-CN"/>
        </w:rPr>
      </w:pPr>
      <w:r>
        <w:rPr>
          <w:rFonts w:ascii="黑体" w:hAnsi="黑体" w:eastAsia="黑体" w:cs="黑体"/>
          <w:b w:val="0"/>
          <w:bCs w:val="0"/>
          <w:color w:val="auto"/>
          <w:kern w:val="0"/>
          <w:sz w:val="32"/>
          <w:szCs w:val="32"/>
          <w:highlight w:val="none"/>
          <w:u w:val="none"/>
          <w:lang w:val="zh-CN" w:bidi="zh-CN"/>
        </w:rPr>
        <w:t>三、违约担责，接受处置</w:t>
      </w:r>
    </w:p>
    <w:p w14:paraId="0415AF0B">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ascii="仿宋_GB2312" w:hAnsi="仿宋_GB2312" w:eastAsia="仿宋_GB2312" w:cs="仿宋_GB2312"/>
          <w:color w:val="auto"/>
          <w:kern w:val="0"/>
          <w:sz w:val="32"/>
          <w:szCs w:val="32"/>
          <w:highlight w:val="none"/>
          <w:u w:val="none"/>
          <w:lang w:val="zh-CN" w:bidi="zh-CN"/>
        </w:rPr>
      </w:pPr>
      <w:r>
        <w:rPr>
          <w:rFonts w:ascii="仿宋_GB2312" w:hAnsi="仿宋_GB2312" w:eastAsia="仿宋_GB2312" w:cs="仿宋_GB2312"/>
          <w:color w:val="auto"/>
          <w:kern w:val="0"/>
          <w:sz w:val="32"/>
          <w:szCs w:val="32"/>
          <w:highlight w:val="none"/>
          <w:u w:val="none"/>
          <w:lang w:val="zh-CN" w:bidi="zh-CN"/>
        </w:rPr>
        <w:t>（一）我方承诺，如我方在医用耗材购销中存在违背已承诺事项的，我方愿意接受</w:t>
      </w:r>
      <w:r>
        <w:rPr>
          <w:rFonts w:hint="eastAsia" w:ascii="仿宋_GB2312" w:hAnsi="仿宋_GB2312" w:eastAsia="仿宋_GB2312" w:cs="仿宋_GB2312"/>
          <w:color w:val="auto"/>
          <w:sz w:val="32"/>
          <w:szCs w:val="32"/>
          <w:highlight w:val="none"/>
          <w:u w:val="none"/>
          <w:lang w:val="en-US" w:eastAsia="zh-CN"/>
        </w:rPr>
        <w:t>集中采购实施</w:t>
      </w:r>
      <w:r>
        <w:rPr>
          <w:rFonts w:hint="eastAsia" w:ascii="仿宋_GB2312" w:hAnsi="仿宋_GB2312" w:eastAsia="仿宋_GB2312" w:cs="仿宋_GB2312"/>
          <w:color w:val="auto"/>
          <w:kern w:val="0"/>
          <w:sz w:val="32"/>
          <w:szCs w:val="32"/>
          <w:highlight w:val="none"/>
          <w:u w:val="none"/>
          <w:lang w:val="zh-CN" w:bidi="zh-CN"/>
        </w:rPr>
        <w:t>机构</w:t>
      </w:r>
      <w:r>
        <w:rPr>
          <w:rFonts w:ascii="仿宋_GB2312" w:hAnsi="仿宋_GB2312" w:eastAsia="仿宋_GB2312" w:cs="仿宋_GB2312"/>
          <w:color w:val="auto"/>
          <w:kern w:val="0"/>
          <w:sz w:val="32"/>
          <w:szCs w:val="32"/>
          <w:highlight w:val="none"/>
          <w:u w:val="none"/>
          <w:lang w:val="zh-CN" w:bidi="zh-CN"/>
        </w:rPr>
        <w:t>作出的信用评级结果以及结合信用等级实施的处置措施。</w:t>
      </w:r>
    </w:p>
    <w:p w14:paraId="709F5BB3">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ascii="仿宋_GB2312" w:hAnsi="仿宋_GB2312" w:eastAsia="仿宋_GB2312" w:cs="仿宋_GB2312"/>
          <w:color w:val="auto"/>
          <w:kern w:val="0"/>
          <w:sz w:val="32"/>
          <w:szCs w:val="32"/>
          <w:highlight w:val="none"/>
          <w:u w:val="none"/>
          <w:lang w:val="zh-CN" w:bidi="zh-CN"/>
        </w:rPr>
      </w:pPr>
      <w:r>
        <w:rPr>
          <w:rFonts w:ascii="仿宋_GB2312" w:hAnsi="仿宋_GB2312" w:eastAsia="仿宋_GB2312" w:cs="仿宋_GB2312"/>
          <w:color w:val="auto"/>
          <w:kern w:val="0"/>
          <w:sz w:val="32"/>
          <w:szCs w:val="32"/>
          <w:highlight w:val="none"/>
          <w:u w:val="none"/>
          <w:lang w:val="zh-CN" w:bidi="zh-CN"/>
        </w:rPr>
        <w:t>（二）我方承诺，严格管理员工（含雇佣关系，以及劳务派遣、购买服务、委托代理等关系），在法律法规允许的范围内从事经营活动。如果我方员工在我方医用耗材购销中因给予回扣或其他不正当利益的行为，受到司法机关、行政执法机关惩处，我方承诺承担失信违约责任，接受</w:t>
      </w:r>
      <w:r>
        <w:rPr>
          <w:rFonts w:hint="eastAsia" w:ascii="仿宋_GB2312" w:hAnsi="仿宋_GB2312" w:eastAsia="仿宋_GB2312" w:cs="仿宋_GB2312"/>
          <w:color w:val="auto"/>
          <w:sz w:val="32"/>
          <w:szCs w:val="32"/>
          <w:highlight w:val="none"/>
          <w:u w:val="none"/>
          <w:lang w:val="en-US" w:eastAsia="zh-CN"/>
        </w:rPr>
        <w:t>集中采购实施</w:t>
      </w:r>
      <w:r>
        <w:rPr>
          <w:rFonts w:hint="eastAsia" w:ascii="仿宋_GB2312" w:hAnsi="仿宋_GB2312" w:eastAsia="仿宋_GB2312" w:cs="仿宋_GB2312"/>
          <w:color w:val="auto"/>
          <w:kern w:val="0"/>
          <w:sz w:val="32"/>
          <w:szCs w:val="32"/>
          <w:highlight w:val="none"/>
          <w:u w:val="none"/>
          <w:lang w:val="zh-CN" w:bidi="zh-CN"/>
        </w:rPr>
        <w:t>机构</w:t>
      </w:r>
      <w:r>
        <w:rPr>
          <w:rFonts w:ascii="仿宋_GB2312" w:hAnsi="仿宋_GB2312" w:eastAsia="仿宋_GB2312" w:cs="仿宋_GB2312"/>
          <w:color w:val="auto"/>
          <w:kern w:val="0"/>
          <w:sz w:val="32"/>
          <w:szCs w:val="32"/>
          <w:highlight w:val="none"/>
          <w:u w:val="none"/>
          <w:lang w:val="zh-CN" w:bidi="zh-CN"/>
        </w:rPr>
        <w:t>作出的相关信用评级结果以及结合信用等级实施的处置措施。</w:t>
      </w:r>
    </w:p>
    <w:p w14:paraId="0F6D4C61">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ascii="仿宋_GB2312" w:hAnsi="仿宋_GB2312" w:eastAsia="仿宋_GB2312" w:cs="仿宋_GB2312"/>
          <w:color w:val="auto"/>
          <w:kern w:val="0"/>
          <w:sz w:val="32"/>
          <w:szCs w:val="32"/>
          <w:highlight w:val="none"/>
          <w:u w:val="none"/>
          <w:lang w:val="zh-CN" w:bidi="zh-CN"/>
        </w:rPr>
      </w:pPr>
      <w:r>
        <w:rPr>
          <w:rFonts w:ascii="仿宋_GB2312" w:hAnsi="仿宋_GB2312" w:eastAsia="仿宋_GB2312" w:cs="仿宋_GB2312"/>
          <w:color w:val="auto"/>
          <w:kern w:val="0"/>
          <w:sz w:val="32"/>
          <w:szCs w:val="32"/>
          <w:highlight w:val="none"/>
          <w:u w:val="none"/>
          <w:lang w:val="zh-CN" w:bidi="zh-CN"/>
        </w:rPr>
        <w:t>（三）我方承诺，严格约束委托代理人（具有委托代理关系的法人和自然人）在法律允许的范围内从事经营活动。如果受我方委托的代理人，因涉及我方医用耗材的回扣等医药商业贿赂行为，受到司法机关、行政执法机关惩处，</w:t>
      </w:r>
      <w:r>
        <w:rPr>
          <w:rFonts w:hint="eastAsia" w:ascii="仿宋_GB2312" w:hAnsi="仿宋_GB2312" w:eastAsia="仿宋_GB2312" w:cs="仿宋_GB2312"/>
          <w:color w:val="auto"/>
          <w:kern w:val="0"/>
          <w:sz w:val="32"/>
          <w:szCs w:val="32"/>
          <w:highlight w:val="none"/>
          <w:u w:val="none"/>
          <w:lang w:val="en-US" w:bidi="zh-CN"/>
        </w:rPr>
        <w:t>以及不按时响应订单、配送不及时、不足量供应的，</w:t>
      </w:r>
      <w:r>
        <w:rPr>
          <w:rFonts w:ascii="仿宋_GB2312" w:hAnsi="仿宋_GB2312" w:eastAsia="仿宋_GB2312" w:cs="仿宋_GB2312"/>
          <w:color w:val="auto"/>
          <w:kern w:val="0"/>
          <w:sz w:val="32"/>
          <w:szCs w:val="32"/>
          <w:highlight w:val="none"/>
          <w:u w:val="none"/>
          <w:lang w:val="zh-CN" w:bidi="zh-CN"/>
        </w:rPr>
        <w:t>我方承诺承担失信违约责任，接受</w:t>
      </w:r>
      <w:r>
        <w:rPr>
          <w:rFonts w:hint="eastAsia" w:ascii="仿宋_GB2312" w:hAnsi="仿宋_GB2312" w:eastAsia="仿宋_GB2312" w:cs="仿宋_GB2312"/>
          <w:color w:val="auto"/>
          <w:sz w:val="32"/>
          <w:szCs w:val="32"/>
          <w:highlight w:val="none"/>
          <w:u w:val="none"/>
          <w:lang w:val="en-US" w:eastAsia="zh-CN"/>
        </w:rPr>
        <w:t>集中采购实施</w:t>
      </w:r>
      <w:r>
        <w:rPr>
          <w:rFonts w:hint="eastAsia" w:ascii="仿宋_GB2312" w:hAnsi="仿宋_GB2312" w:eastAsia="仿宋_GB2312" w:cs="仿宋_GB2312"/>
          <w:color w:val="auto"/>
          <w:kern w:val="0"/>
          <w:sz w:val="32"/>
          <w:szCs w:val="32"/>
          <w:highlight w:val="none"/>
          <w:u w:val="none"/>
          <w:lang w:val="zh-CN" w:bidi="zh-CN"/>
        </w:rPr>
        <w:t>机构</w:t>
      </w:r>
      <w:r>
        <w:rPr>
          <w:rFonts w:ascii="仿宋_GB2312" w:hAnsi="仿宋_GB2312" w:eastAsia="仿宋_GB2312" w:cs="仿宋_GB2312"/>
          <w:color w:val="auto"/>
          <w:kern w:val="0"/>
          <w:sz w:val="32"/>
          <w:szCs w:val="32"/>
          <w:highlight w:val="none"/>
          <w:u w:val="none"/>
          <w:lang w:val="zh-CN" w:bidi="zh-CN"/>
        </w:rPr>
        <w:t>作出的相关信用评级结果以及结合信用等级实施的处置措施。</w:t>
      </w:r>
    </w:p>
    <w:p w14:paraId="37C6789E">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ascii="仿宋_GB2312" w:hAnsi="仿宋_GB2312" w:eastAsia="仿宋_GB2312" w:cs="仿宋_GB2312"/>
          <w:color w:val="auto"/>
          <w:kern w:val="0"/>
          <w:sz w:val="32"/>
          <w:szCs w:val="32"/>
          <w:highlight w:val="none"/>
          <w:u w:val="none"/>
          <w:lang w:val="zh-CN" w:bidi="zh-CN"/>
        </w:rPr>
      </w:pPr>
      <w:r>
        <w:rPr>
          <w:rFonts w:ascii="仿宋_GB2312" w:hAnsi="仿宋_GB2312" w:eastAsia="仿宋_GB2312" w:cs="仿宋_GB2312"/>
          <w:color w:val="auto"/>
          <w:kern w:val="0"/>
          <w:sz w:val="32"/>
          <w:szCs w:val="32"/>
          <w:highlight w:val="none"/>
          <w:u w:val="none"/>
          <w:lang w:val="zh-CN" w:bidi="zh-CN"/>
        </w:rPr>
        <w:t>（四）我方承诺，主动维护良好信用，必要时采取切实措施修复信用。</w:t>
      </w:r>
    </w:p>
    <w:p w14:paraId="6EC65169">
      <w:pPr>
        <w:keepNext w:val="0"/>
        <w:keepLines w:val="0"/>
        <w:pageBreakBefore w:val="0"/>
        <w:widowControl w:val="0"/>
        <w:kinsoku/>
        <w:overflowPunct/>
        <w:topLinePunct w:val="0"/>
        <w:autoSpaceDE/>
        <w:autoSpaceDN/>
        <w:bidi w:val="0"/>
        <w:adjustRightInd/>
        <w:snapToGrid/>
        <w:spacing w:line="520" w:lineRule="exact"/>
        <w:ind w:left="0" w:firstLine="640" w:firstLineChars="200"/>
        <w:jc w:val="both"/>
        <w:textAlignment w:val="auto"/>
        <w:rPr>
          <w:rFonts w:ascii="仿宋_GB2312" w:hAnsi="仿宋_GB2312" w:eastAsia="仿宋_GB2312" w:cs="仿宋_GB2312"/>
          <w:color w:val="auto"/>
          <w:kern w:val="0"/>
          <w:sz w:val="32"/>
          <w:szCs w:val="32"/>
          <w:highlight w:val="none"/>
          <w:u w:val="none"/>
          <w:lang w:val="zh-CN" w:bidi="zh-CN"/>
        </w:rPr>
      </w:pPr>
    </w:p>
    <w:p w14:paraId="74C9AE2F">
      <w:pPr>
        <w:keepNext w:val="0"/>
        <w:keepLines w:val="0"/>
        <w:pageBreakBefore w:val="0"/>
        <w:widowControl w:val="0"/>
        <w:kinsoku/>
        <w:wordWrap w:val="0"/>
        <w:overflowPunct/>
        <w:topLinePunct w:val="0"/>
        <w:autoSpaceDE/>
        <w:autoSpaceDN/>
        <w:bidi w:val="0"/>
        <w:adjustRightInd/>
        <w:snapToGrid/>
        <w:spacing w:line="520" w:lineRule="exact"/>
        <w:ind w:left="0"/>
        <w:jc w:val="both"/>
        <w:textAlignment w:val="auto"/>
        <w:rPr>
          <w:rFonts w:hint="eastAsia" w:ascii="仿宋_GB2312" w:hAnsi="仿宋_GB2312" w:eastAsia="仿宋_GB2312" w:cs="仿宋_GB2312"/>
          <w:color w:val="auto"/>
          <w:kern w:val="2"/>
          <w:sz w:val="32"/>
          <w:szCs w:val="32"/>
          <w:highlight w:val="none"/>
          <w:u w:val="none"/>
          <w:lang w:val="en-US" w:eastAsia="zh-CN"/>
        </w:rPr>
      </w:pPr>
      <w:r>
        <w:rPr>
          <w:rFonts w:ascii="仿宋_GB2312" w:hAnsi="仿宋_GB2312" w:eastAsia="仿宋_GB2312" w:cs="仿宋_GB2312"/>
          <w:color w:val="auto"/>
          <w:kern w:val="2"/>
          <w:sz w:val="32"/>
          <w:szCs w:val="32"/>
          <w:highlight w:val="none"/>
          <w:u w:val="none"/>
        </w:rPr>
        <w:t>承诺企业（盖章）:</w:t>
      </w:r>
      <w:r>
        <w:rPr>
          <w:rFonts w:hint="eastAsia" w:ascii="仿宋_GB2312" w:hAnsi="仿宋_GB2312" w:eastAsia="仿宋_GB2312" w:cs="仿宋_GB2312"/>
          <w:color w:val="auto"/>
          <w:kern w:val="2"/>
          <w:sz w:val="32"/>
          <w:szCs w:val="32"/>
          <w:highlight w:val="none"/>
          <w:u w:val="none"/>
          <w:lang w:val="en-US" w:eastAsia="zh-CN"/>
        </w:rPr>
        <w:t xml:space="preserve">   </w:t>
      </w:r>
    </w:p>
    <w:p w14:paraId="47678D9E">
      <w:pPr>
        <w:keepNext w:val="0"/>
        <w:keepLines w:val="0"/>
        <w:pageBreakBefore w:val="0"/>
        <w:widowControl w:val="0"/>
        <w:kinsoku/>
        <w:wordWrap w:val="0"/>
        <w:overflowPunct/>
        <w:topLinePunct w:val="0"/>
        <w:autoSpaceDE/>
        <w:autoSpaceDN/>
        <w:bidi w:val="0"/>
        <w:adjustRightInd/>
        <w:snapToGrid/>
        <w:spacing w:line="520" w:lineRule="exact"/>
        <w:ind w:left="0"/>
        <w:jc w:val="both"/>
        <w:textAlignment w:val="auto"/>
        <w:rPr>
          <w:rFonts w:hint="eastAsia" w:ascii="仿宋_GB2312" w:hAnsi="仿宋_GB2312" w:eastAsia="仿宋_GB2312" w:cs="仿宋_GB2312"/>
          <w:color w:val="auto"/>
          <w:kern w:val="2"/>
          <w:sz w:val="32"/>
          <w:szCs w:val="32"/>
          <w:highlight w:val="none"/>
          <w:u w:val="none"/>
          <w:lang w:val="en-US" w:eastAsia="zh-CN"/>
        </w:rPr>
      </w:pPr>
      <w:r>
        <w:rPr>
          <w:rFonts w:hint="eastAsia" w:ascii="仿宋_GB2312" w:hAnsi="仿宋_GB2312" w:eastAsia="仿宋_GB2312" w:cs="仿宋_GB2312"/>
          <w:color w:val="auto"/>
          <w:kern w:val="2"/>
          <w:sz w:val="32"/>
          <w:szCs w:val="32"/>
          <w:highlight w:val="none"/>
          <w:u w:val="none"/>
          <w:lang w:val="en-US" w:eastAsia="zh-CN"/>
        </w:rPr>
        <w:t xml:space="preserve">              </w:t>
      </w:r>
    </w:p>
    <w:p w14:paraId="68E4C4FF">
      <w:pPr>
        <w:keepNext w:val="0"/>
        <w:keepLines w:val="0"/>
        <w:pageBreakBefore w:val="0"/>
        <w:widowControl w:val="0"/>
        <w:kinsoku/>
        <w:wordWrap w:val="0"/>
        <w:overflowPunct/>
        <w:topLinePunct w:val="0"/>
        <w:autoSpaceDE/>
        <w:autoSpaceDN/>
        <w:bidi w:val="0"/>
        <w:adjustRightInd/>
        <w:snapToGrid/>
        <w:spacing w:line="520" w:lineRule="exact"/>
        <w:ind w:left="0"/>
        <w:jc w:val="both"/>
        <w:textAlignment w:val="auto"/>
        <w:rPr>
          <w:rFonts w:hint="default" w:ascii="仿宋_GB2312" w:hAnsi="仿宋_GB2312" w:eastAsia="仿宋_GB2312" w:cs="仿宋_GB2312"/>
          <w:color w:val="auto"/>
          <w:kern w:val="2"/>
          <w:sz w:val="32"/>
          <w:szCs w:val="32"/>
          <w:highlight w:val="none"/>
          <w:u w:val="none"/>
          <w:lang w:val="en-US" w:eastAsia="zh-CN"/>
        </w:rPr>
      </w:pPr>
      <w:r>
        <w:rPr>
          <w:rFonts w:ascii="仿宋_GB2312" w:hAnsi="仿宋_GB2312" w:eastAsia="仿宋_GB2312" w:cs="仿宋_GB2312"/>
          <w:color w:val="auto"/>
          <w:kern w:val="2"/>
          <w:sz w:val="32"/>
          <w:szCs w:val="32"/>
          <w:highlight w:val="none"/>
          <w:u w:val="none"/>
        </w:rPr>
        <w:t>法定代表人（签字）:</w:t>
      </w:r>
      <w:r>
        <w:rPr>
          <w:rFonts w:hint="eastAsia" w:ascii="仿宋_GB2312" w:hAnsi="仿宋_GB2312" w:eastAsia="仿宋_GB2312" w:cs="仿宋_GB2312"/>
          <w:color w:val="auto"/>
          <w:kern w:val="2"/>
          <w:sz w:val="32"/>
          <w:szCs w:val="32"/>
          <w:highlight w:val="none"/>
          <w:u w:val="none"/>
          <w:lang w:val="en-US" w:eastAsia="zh-CN"/>
        </w:rPr>
        <w:t xml:space="preserve">               </w:t>
      </w:r>
    </w:p>
    <w:p w14:paraId="09FE3E44">
      <w:pPr>
        <w:keepNext w:val="0"/>
        <w:keepLines w:val="0"/>
        <w:pageBreakBefore w:val="0"/>
        <w:widowControl w:val="0"/>
        <w:kinsoku/>
        <w:wordWrap w:val="0"/>
        <w:overflowPunct/>
        <w:topLinePunct w:val="0"/>
        <w:autoSpaceDE/>
        <w:autoSpaceDN/>
        <w:bidi w:val="0"/>
        <w:adjustRightInd/>
        <w:snapToGrid/>
        <w:spacing w:line="520" w:lineRule="exact"/>
        <w:ind w:left="0"/>
        <w:jc w:val="both"/>
        <w:textAlignment w:val="auto"/>
        <w:rPr>
          <w:rFonts w:hint="default" w:ascii="仿宋_GB2312" w:hAnsi="仿宋_GB2312" w:eastAsia="仿宋_GB2312" w:cs="仿宋_GB2312"/>
          <w:color w:val="auto"/>
          <w:kern w:val="2"/>
          <w:sz w:val="32"/>
          <w:szCs w:val="32"/>
          <w:highlight w:val="none"/>
          <w:u w:val="none"/>
          <w:lang w:val="en-US" w:eastAsia="zh-CN"/>
        </w:rPr>
      </w:pPr>
      <w:r>
        <w:rPr>
          <w:rFonts w:hint="eastAsia" w:ascii="仿宋_GB2312" w:hAnsi="仿宋_GB2312" w:eastAsia="仿宋_GB2312" w:cs="仿宋_GB2312"/>
          <w:color w:val="auto"/>
          <w:kern w:val="2"/>
          <w:sz w:val="32"/>
          <w:szCs w:val="32"/>
          <w:highlight w:val="none"/>
          <w:u w:val="none"/>
          <w:lang w:val="en-US" w:eastAsia="zh-CN"/>
        </w:rPr>
        <w:t xml:space="preserve">            </w:t>
      </w:r>
    </w:p>
    <w:p w14:paraId="4A28B8FB">
      <w:pPr>
        <w:keepNext w:val="0"/>
        <w:keepLines w:val="0"/>
        <w:pageBreakBefore w:val="0"/>
        <w:widowControl w:val="0"/>
        <w:kinsoku/>
        <w:overflowPunct/>
        <w:topLinePunct w:val="0"/>
        <w:autoSpaceDE/>
        <w:autoSpaceDN/>
        <w:bidi w:val="0"/>
        <w:adjustRightInd/>
        <w:snapToGrid/>
        <w:spacing w:line="520" w:lineRule="exact"/>
        <w:ind w:left="360" w:leftChars="0" w:firstLine="3212" w:firstLineChars="0"/>
        <w:jc w:val="both"/>
        <w:textAlignment w:val="auto"/>
        <w:rPr>
          <w:rFonts w:hint="eastAsia" w:ascii="仿宋_GB2312" w:hAnsi="仿宋_GB2312" w:eastAsia="仿宋_GB2312" w:cs="仿宋_GB2312"/>
          <w:color w:val="auto"/>
          <w:kern w:val="2"/>
          <w:sz w:val="32"/>
          <w:szCs w:val="32"/>
          <w:highlight w:val="none"/>
          <w:u w:val="none"/>
          <w:lang w:val="en-US" w:eastAsia="zh-CN"/>
        </w:rPr>
      </w:pPr>
      <w:r>
        <w:rPr>
          <w:rFonts w:ascii="仿宋_GB2312" w:hAnsi="仿宋_GB2312" w:eastAsia="仿宋_GB2312" w:cs="仿宋_GB2312"/>
          <w:color w:val="auto"/>
          <w:kern w:val="2"/>
          <w:sz w:val="32"/>
          <w:szCs w:val="32"/>
          <w:highlight w:val="none"/>
          <w:u w:val="none"/>
        </w:rPr>
        <w:t>日期：</w:t>
      </w:r>
      <w:r>
        <w:rPr>
          <w:rFonts w:hint="eastAsia" w:ascii="仿宋_GB2312" w:hAnsi="仿宋_GB2312" w:eastAsia="仿宋_GB2312" w:cs="仿宋_GB2312"/>
          <w:color w:val="auto"/>
          <w:kern w:val="2"/>
          <w:sz w:val="32"/>
          <w:szCs w:val="32"/>
          <w:highlight w:val="none"/>
          <w:u w:val="none"/>
          <w:lang w:val="en-US" w:eastAsia="zh-CN"/>
        </w:rPr>
        <w:t xml:space="preserve">     </w:t>
      </w:r>
      <w:r>
        <w:rPr>
          <w:rFonts w:ascii="仿宋_GB2312" w:hAnsi="仿宋_GB2312" w:eastAsia="仿宋_GB2312" w:cs="仿宋_GB2312"/>
          <w:color w:val="auto"/>
          <w:kern w:val="2"/>
          <w:sz w:val="32"/>
          <w:szCs w:val="32"/>
          <w:highlight w:val="none"/>
          <w:u w:val="none"/>
        </w:rPr>
        <w:t>年</w:t>
      </w:r>
      <w:r>
        <w:rPr>
          <w:rFonts w:hint="eastAsia" w:ascii="仿宋_GB2312" w:hAnsi="仿宋_GB2312" w:eastAsia="仿宋_GB2312" w:cs="仿宋_GB2312"/>
          <w:color w:val="auto"/>
          <w:kern w:val="2"/>
          <w:sz w:val="32"/>
          <w:szCs w:val="32"/>
          <w:highlight w:val="none"/>
          <w:u w:val="none"/>
          <w:lang w:val="en-US" w:eastAsia="zh-CN"/>
        </w:rPr>
        <w:t xml:space="preserve">     </w:t>
      </w:r>
      <w:r>
        <w:rPr>
          <w:rFonts w:ascii="仿宋_GB2312" w:hAnsi="仿宋_GB2312" w:eastAsia="仿宋_GB2312" w:cs="仿宋_GB2312"/>
          <w:color w:val="auto"/>
          <w:kern w:val="2"/>
          <w:sz w:val="32"/>
          <w:szCs w:val="32"/>
          <w:highlight w:val="none"/>
          <w:u w:val="none"/>
        </w:rPr>
        <w:t>月</w:t>
      </w:r>
      <w:r>
        <w:rPr>
          <w:rFonts w:hint="eastAsia" w:ascii="仿宋_GB2312" w:hAnsi="仿宋_GB2312" w:eastAsia="仿宋_GB2312" w:cs="仿宋_GB2312"/>
          <w:color w:val="auto"/>
          <w:kern w:val="2"/>
          <w:sz w:val="32"/>
          <w:szCs w:val="32"/>
          <w:highlight w:val="none"/>
          <w:u w:val="none"/>
          <w:lang w:val="en-US" w:eastAsia="zh-CN"/>
        </w:rPr>
        <w:t xml:space="preserve">    日  </w:t>
      </w:r>
    </w:p>
    <w:p w14:paraId="22F23496">
      <w:pPr>
        <w:keepNext w:val="0"/>
        <w:keepLines w:val="0"/>
        <w:pageBreakBefore w:val="0"/>
        <w:widowControl w:val="0"/>
        <w:kinsoku/>
        <w:topLinePunct w:val="0"/>
        <w:autoSpaceDE w:val="0"/>
        <w:autoSpaceDN w:val="0"/>
        <w:bidi w:val="0"/>
        <w:adjustRightInd w:val="0"/>
        <w:spacing w:line="520" w:lineRule="exact"/>
        <w:jc w:val="both"/>
        <w:textAlignment w:val="auto"/>
        <w:rPr>
          <w:rFonts w:hint="eastAsia" w:ascii="方正仿宋简体" w:hAnsi="方正仿宋简体" w:eastAsia="方正仿宋简体" w:cs="Times New Roman"/>
          <w:color w:val="auto"/>
          <w:sz w:val="24"/>
          <w:szCs w:val="22"/>
          <w:highlight w:val="none"/>
          <w:lang w:val="en-US" w:eastAsia="zh-CN" w:bidi="ar-SA"/>
        </w:rPr>
      </w:pPr>
    </w:p>
    <w:p w14:paraId="529F9256">
      <w:pPr>
        <w:pageBreakBefore w:val="0"/>
        <w:kinsoku/>
        <w:topLinePunct w:val="0"/>
        <w:bidi w:val="0"/>
        <w:spacing w:line="520" w:lineRule="exact"/>
        <w:ind w:left="0" w:leftChars="0" w:firstLine="0" w:firstLineChars="0"/>
        <w:jc w:val="both"/>
        <w:textAlignment w:val="auto"/>
        <w:rPr>
          <w:rFonts w:hint="eastAsia" w:ascii="仿宋_GB2312" w:hAnsi="仿宋_GB2312" w:eastAsia="仿宋_GB2312" w:cs="仿宋_GB2312"/>
          <w:color w:val="auto"/>
          <w:sz w:val="32"/>
          <w:szCs w:val="32"/>
          <w:highlight w:val="none"/>
          <w:u w:val="none"/>
          <w:lang w:val="en-US" w:eastAsia="zh-CN"/>
        </w:rPr>
      </w:pPr>
    </w:p>
    <w:sectPr>
      <w:headerReference r:id="rId13" w:type="default"/>
      <w:footerReference r:id="rId14"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ＣＳ">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0A879">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E2872">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F5215">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2575">
    <w:pPr>
      <w:pStyle w:val="8"/>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EAA117">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34</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3EAA117">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34</w:t>
                    </w:r>
                    <w:r>
                      <w:rPr>
                        <w:sz w:val="28"/>
                        <w:szCs w:val="28"/>
                      </w:rPr>
                      <w:fldChar w:fldCharType="end"/>
                    </w:r>
                    <w:r>
                      <w:rPr>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A89C8">
    <w:pPr>
      <w:widowControl w:val="0"/>
      <w:snapToGrid w:val="0"/>
      <w:spacing w:line="360" w:lineRule="auto"/>
      <w:ind w:left="360" w:firstLine="360"/>
      <w:jc w:val="center"/>
      <w:rPr>
        <w:rFonts w:ascii="宋体" w:hAnsi="宋体" w:eastAsia="宋体" w:cs="Times New Roman"/>
        <w:sz w:val="18"/>
        <w:szCs w:val="18"/>
        <w:lang w:val="en-US" w:eastAsia="zh-CN" w:bidi="ar-SA"/>
      </w:rPr>
    </w:pPr>
    <w:r>
      <w:rPr>
        <w:rFonts w:ascii="宋体" w:hAnsi="宋体" w:eastAsia="宋体" w:cs="Times New Roman"/>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F5E5840">
                          <w:pPr>
                            <w:widowControl w:val="0"/>
                            <w:snapToGrid w:val="0"/>
                            <w:spacing w:line="360" w:lineRule="auto"/>
                            <w:ind w:left="360"/>
                            <w:rPr>
                              <w:rFonts w:ascii="宋体" w:hAnsi="宋体" w:eastAsia="宋体" w:cs="Times New Roman"/>
                              <w:sz w:val="28"/>
                              <w:szCs w:val="28"/>
                              <w:lang w:val="en-US" w:eastAsia="zh-CN" w:bidi="ar-SA"/>
                            </w:rPr>
                          </w:pPr>
                          <w:r>
                            <w:rPr>
                              <w:rFonts w:ascii="宋体" w:hAnsi="宋体" w:eastAsia="宋体" w:cs="Times New Roman"/>
                              <w:sz w:val="28"/>
                              <w:szCs w:val="28"/>
                              <w:lang w:val="en-US" w:eastAsia="zh-CN" w:bidi="ar-SA"/>
                            </w:rPr>
                            <w:t xml:space="preserve">— </w:t>
                          </w:r>
                          <w:r>
                            <w:rPr>
                              <w:rFonts w:ascii="宋体" w:hAnsi="宋体" w:eastAsia="宋体" w:cs="Times New Roman"/>
                              <w:sz w:val="28"/>
                              <w:szCs w:val="28"/>
                              <w:lang w:val="en-US" w:eastAsia="zh-CN" w:bidi="ar-SA"/>
                            </w:rPr>
                            <w:fldChar w:fldCharType="begin"/>
                          </w:r>
                          <w:r>
                            <w:rPr>
                              <w:rFonts w:ascii="宋体" w:hAnsi="宋体" w:eastAsia="宋体" w:cs="Times New Roman"/>
                              <w:sz w:val="28"/>
                              <w:szCs w:val="28"/>
                              <w:lang w:val="en-US" w:eastAsia="zh-CN" w:bidi="ar-SA"/>
                            </w:rPr>
                            <w:instrText xml:space="preserve"> PAGE  \* MERGEFORMAT </w:instrText>
                          </w:r>
                          <w:r>
                            <w:rPr>
                              <w:rFonts w:ascii="宋体" w:hAnsi="宋体" w:eastAsia="宋体" w:cs="Times New Roman"/>
                              <w:sz w:val="28"/>
                              <w:szCs w:val="28"/>
                              <w:lang w:val="en-US" w:eastAsia="zh-CN" w:bidi="ar-SA"/>
                            </w:rPr>
                            <w:fldChar w:fldCharType="separate"/>
                          </w:r>
                          <w:r>
                            <w:rPr>
                              <w:rFonts w:ascii="宋体" w:hAnsi="宋体" w:eastAsia="宋体" w:cs="Times New Roman"/>
                              <w:sz w:val="28"/>
                              <w:szCs w:val="28"/>
                              <w:lang w:val="en-US" w:eastAsia="zh-CN" w:bidi="ar-SA"/>
                            </w:rPr>
                            <w:t>24</w:t>
                          </w:r>
                          <w:r>
                            <w:rPr>
                              <w:rFonts w:ascii="宋体" w:hAnsi="宋体" w:eastAsia="宋体" w:cs="Times New Roman"/>
                              <w:sz w:val="28"/>
                              <w:szCs w:val="28"/>
                              <w:lang w:val="en-US" w:eastAsia="zh-CN" w:bidi="ar-SA"/>
                            </w:rPr>
                            <w:fldChar w:fldCharType="end"/>
                          </w:r>
                          <w:r>
                            <w:rPr>
                              <w:rFonts w:ascii="宋体" w:hAnsi="宋体" w:eastAsia="宋体" w:cs="Times New Roman"/>
                              <w:sz w:val="28"/>
                              <w:szCs w:val="28"/>
                              <w:lang w:val="en-US" w:eastAsia="zh-CN" w:bidi="ar-SA"/>
                            </w:rPr>
                            <w:t xml:space="preserve"> —</w:t>
                          </w:r>
                        </w:p>
                      </w:txbxContent>
                    </wps:txbx>
                    <wps:bodyPr vert="horz" wrap="none" lIns="0" tIns="0" rIns="0" bIns="0" anchor="t">
                      <a:spAutoFit/>
                    </wps:bodyPr>
                  </wps:wsp>
                </a:graphicData>
              </a:graphic>
            </wp:anchor>
          </w:drawing>
        </mc:Choice>
        <mc:Fallback>
          <w:pict>
            <v:rect id="文本框 1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G8d/bswBAACTAwAADgAAAAAAAAABACAAAAAfAQAAZHJzL2Uy&#10;b0RvYy54bWxQSwUGAAAAAAYABgBZAQAAXQUAAAAA&#10;">
              <v:fill on="f" focussize="0,0"/>
              <v:stroke on="f"/>
              <v:imagedata o:title=""/>
              <o:lock v:ext="edit" aspectratio="f"/>
              <v:textbox inset="0mm,0mm,0mm,0mm" style="mso-fit-shape-to-text:t;">
                <w:txbxContent>
                  <w:p w14:paraId="3F5E5840">
                    <w:pPr>
                      <w:widowControl w:val="0"/>
                      <w:snapToGrid w:val="0"/>
                      <w:spacing w:line="360" w:lineRule="auto"/>
                      <w:ind w:left="360"/>
                      <w:rPr>
                        <w:rFonts w:ascii="宋体" w:hAnsi="宋体" w:eastAsia="宋体" w:cs="Times New Roman"/>
                        <w:sz w:val="28"/>
                        <w:szCs w:val="28"/>
                        <w:lang w:val="en-US" w:eastAsia="zh-CN" w:bidi="ar-SA"/>
                      </w:rPr>
                    </w:pPr>
                    <w:r>
                      <w:rPr>
                        <w:rFonts w:ascii="宋体" w:hAnsi="宋体" w:eastAsia="宋体" w:cs="Times New Roman"/>
                        <w:sz w:val="28"/>
                        <w:szCs w:val="28"/>
                        <w:lang w:val="en-US" w:eastAsia="zh-CN" w:bidi="ar-SA"/>
                      </w:rPr>
                      <w:t xml:space="preserve">— </w:t>
                    </w:r>
                    <w:r>
                      <w:rPr>
                        <w:rFonts w:ascii="宋体" w:hAnsi="宋体" w:eastAsia="宋体" w:cs="Times New Roman"/>
                        <w:sz w:val="28"/>
                        <w:szCs w:val="28"/>
                        <w:lang w:val="en-US" w:eastAsia="zh-CN" w:bidi="ar-SA"/>
                      </w:rPr>
                      <w:fldChar w:fldCharType="begin"/>
                    </w:r>
                    <w:r>
                      <w:rPr>
                        <w:rFonts w:ascii="宋体" w:hAnsi="宋体" w:eastAsia="宋体" w:cs="Times New Roman"/>
                        <w:sz w:val="28"/>
                        <w:szCs w:val="28"/>
                        <w:lang w:val="en-US" w:eastAsia="zh-CN" w:bidi="ar-SA"/>
                      </w:rPr>
                      <w:instrText xml:space="preserve"> PAGE  \* MERGEFORMAT </w:instrText>
                    </w:r>
                    <w:r>
                      <w:rPr>
                        <w:rFonts w:ascii="宋体" w:hAnsi="宋体" w:eastAsia="宋体" w:cs="Times New Roman"/>
                        <w:sz w:val="28"/>
                        <w:szCs w:val="28"/>
                        <w:lang w:val="en-US" w:eastAsia="zh-CN" w:bidi="ar-SA"/>
                      </w:rPr>
                      <w:fldChar w:fldCharType="separate"/>
                    </w:r>
                    <w:r>
                      <w:rPr>
                        <w:rFonts w:ascii="宋体" w:hAnsi="宋体" w:eastAsia="宋体" w:cs="Times New Roman"/>
                        <w:sz w:val="28"/>
                        <w:szCs w:val="28"/>
                        <w:lang w:val="en-US" w:eastAsia="zh-CN" w:bidi="ar-SA"/>
                      </w:rPr>
                      <w:t>24</w:t>
                    </w:r>
                    <w:r>
                      <w:rPr>
                        <w:rFonts w:ascii="宋体" w:hAnsi="宋体" w:eastAsia="宋体" w:cs="Times New Roman"/>
                        <w:sz w:val="28"/>
                        <w:szCs w:val="28"/>
                        <w:lang w:val="en-US" w:eastAsia="zh-CN" w:bidi="ar-SA"/>
                      </w:rPr>
                      <w:fldChar w:fldCharType="end"/>
                    </w:r>
                    <w:r>
                      <w:rPr>
                        <w:rFonts w:ascii="宋体" w:hAnsi="宋体" w:eastAsia="宋体" w:cs="Times New Roman"/>
                        <w:sz w:val="28"/>
                        <w:szCs w:val="28"/>
                        <w:lang w:val="en-US" w:eastAsia="zh-CN" w:bidi="ar-SA"/>
                      </w:rPr>
                      <w:t xml:space="preserve"> —</w:t>
                    </w:r>
                  </w:p>
                </w:txbxContent>
              </v:textbox>
            </v:rect>
          </w:pict>
        </mc:Fallback>
      </mc:AlternateContent>
    </w:r>
  </w:p>
  <w:p w14:paraId="0F1A11C4">
    <w:pPr>
      <w:widowControl w:val="0"/>
      <w:snapToGrid w:val="0"/>
      <w:spacing w:line="360" w:lineRule="auto"/>
      <w:ind w:left="360" w:firstLine="360"/>
      <w:rPr>
        <w:rFonts w:ascii="宋体" w:hAnsi="宋体" w:eastAsia="宋体" w:cs="Times New Roman"/>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418C9">
    <w:pPr>
      <w:pStyle w:val="9"/>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广东省血流导向密网支架类医用耗材带量联动采购文件（</w:t>
    </w:r>
    <w:r>
      <w:rPr>
        <w:rFonts w:hint="eastAsia" w:ascii="仿宋_GB2312" w:hAnsi="仿宋_GB2312" w:eastAsia="仿宋_GB2312" w:cs="仿宋_GB2312"/>
        <w:lang w:val="en-US" w:eastAsia="zh-CN"/>
      </w:rPr>
      <w:t>征求意见稿</w:t>
    </w:r>
    <w:r>
      <w:rPr>
        <w:rFonts w:hint="eastAsia" w:ascii="仿宋_GB2312" w:hAnsi="仿宋_GB2312" w:eastAsia="仿宋_GB2312" w:cs="仿宋_GB2312"/>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05479">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68597">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01C6C">
    <w:pPr>
      <w:pStyle w:val="9"/>
      <w:spacing w:line="240" w:lineRule="auto"/>
      <w:jc w:val="left"/>
      <w:rPr>
        <w:rFonts w:ascii="仿宋_GB2312" w:hAnsi="仿宋_GB2312" w:eastAsia="仿宋_GB2312" w:cs="仿宋_GB2312"/>
        <w:sz w:val="20"/>
        <w:szCs w:val="20"/>
      </w:rPr>
    </w:pPr>
    <w:r>
      <w:rPr>
        <w:rFonts w:hint="eastAsia" w:ascii="仿宋_GB2312" w:hAnsi="仿宋_GB2312" w:eastAsia="仿宋_GB2312" w:cs="仿宋_GB2312"/>
        <w:lang w:eastAsia="zh-CN"/>
      </w:rPr>
      <w:t>广东省血流导向密网支架类医用耗材带量联动采购文件（</w:t>
    </w:r>
    <w:r>
      <w:rPr>
        <w:rFonts w:hint="eastAsia" w:ascii="仿宋_GB2312" w:hAnsi="仿宋_GB2312" w:eastAsia="仿宋_GB2312" w:cs="仿宋_GB2312"/>
        <w:lang w:val="en-US" w:eastAsia="zh-CN"/>
      </w:rPr>
      <w:t>征求意见稿</w:t>
    </w:r>
    <w:r>
      <w:rPr>
        <w:rFonts w:hint="eastAsia" w:ascii="仿宋_GB2312" w:hAnsi="仿宋_GB2312" w:eastAsia="仿宋_GB2312" w:cs="仿宋_GB2312"/>
        <w:lang w:eastAsia="zh-CN"/>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633CF">
    <w:pPr>
      <w:pStyle w:val="9"/>
      <w:pBdr>
        <w:bottom w:val="none" w:color="auto" w:sz="0" w:space="1"/>
      </w:pBd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4126B7"/>
    <w:multiLevelType w:val="singleLevel"/>
    <w:tmpl w:val="EB4126B7"/>
    <w:lvl w:ilvl="0" w:tentative="0">
      <w:start w:val="5"/>
      <w:numFmt w:val="chineseCounting"/>
      <w:suff w:val="nothing"/>
      <w:lvlText w:val="（%1）"/>
      <w:lvlJc w:val="left"/>
      <w:rPr>
        <w:rFonts w:hint="eastAsia"/>
      </w:rPr>
    </w:lvl>
  </w:abstractNum>
  <w:abstractNum w:abstractNumId="1">
    <w:nsid w:val="047953FD"/>
    <w:multiLevelType w:val="multilevel"/>
    <w:tmpl w:val="047953FD"/>
    <w:lvl w:ilvl="0" w:tentative="0">
      <w:start w:val="1"/>
      <w:numFmt w:val="chineseCountingThousand"/>
      <w:suff w:val="nothing"/>
      <w:lvlText w:val="第%1章"/>
      <w:lvlJc w:val="left"/>
      <w:pPr>
        <w:ind w:left="0" w:firstLine="0"/>
      </w:pPr>
      <w:rPr>
        <w:rFonts w:hint="eastAsia" w:ascii="仿宋ＣＳ" w:eastAsia="仿宋ＣＳ"/>
        <w:b/>
        <w:i w:val="0"/>
        <w:sz w:val="32"/>
      </w:rPr>
    </w:lvl>
    <w:lvl w:ilvl="1" w:tentative="0">
      <w:start w:val="1"/>
      <w:numFmt w:val="chineseCountingThousand"/>
      <w:pStyle w:val="3"/>
      <w:suff w:val="nothing"/>
      <w:lvlText w:val="第%2条"/>
      <w:lvlJc w:val="left"/>
      <w:pPr>
        <w:ind w:left="0" w:firstLine="0"/>
      </w:pPr>
      <w:rPr>
        <w:rFonts w:hint="eastAsia" w:ascii="仿宋ＣＳ" w:eastAsia="仿宋ＣＳ"/>
        <w:b/>
        <w:i w:val="0"/>
        <w:sz w:val="30"/>
      </w:rPr>
    </w:lvl>
    <w:lvl w:ilvl="2" w:tentative="0">
      <w:start w:val="1"/>
      <w:numFmt w:val="chineseCountingThousand"/>
      <w:lvlRestart w:val="0"/>
      <w:suff w:val="nothing"/>
      <w:lvlText w:val="（%3）"/>
      <w:lvlJc w:val="left"/>
      <w:pPr>
        <w:ind w:left="0" w:firstLine="0"/>
      </w:pPr>
      <w:rPr>
        <w:rFonts w:hint="eastAsia" w:ascii="仿宋ＣＳ" w:eastAsia="仿宋ＣＳ"/>
        <w:b w:val="0"/>
        <w:i w:val="0"/>
        <w:sz w:val="30"/>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F4FC1"/>
    <w:rsid w:val="01DD566A"/>
    <w:rsid w:val="03265261"/>
    <w:rsid w:val="04963953"/>
    <w:rsid w:val="06AC78BC"/>
    <w:rsid w:val="06C70A28"/>
    <w:rsid w:val="0869623A"/>
    <w:rsid w:val="0B955598"/>
    <w:rsid w:val="0D283A30"/>
    <w:rsid w:val="12646BB1"/>
    <w:rsid w:val="13C43AF2"/>
    <w:rsid w:val="159A6F9E"/>
    <w:rsid w:val="1A277D03"/>
    <w:rsid w:val="1A5A13EB"/>
    <w:rsid w:val="1D647081"/>
    <w:rsid w:val="1FBD3273"/>
    <w:rsid w:val="22F56BF1"/>
    <w:rsid w:val="2940493E"/>
    <w:rsid w:val="2B0025D7"/>
    <w:rsid w:val="2CDF621C"/>
    <w:rsid w:val="341E7629"/>
    <w:rsid w:val="34C12B59"/>
    <w:rsid w:val="353C2166"/>
    <w:rsid w:val="35484BD5"/>
    <w:rsid w:val="37B7652C"/>
    <w:rsid w:val="3E6908B9"/>
    <w:rsid w:val="40B5669D"/>
    <w:rsid w:val="42F02AD9"/>
    <w:rsid w:val="43472D70"/>
    <w:rsid w:val="4CF431C6"/>
    <w:rsid w:val="4D4019F1"/>
    <w:rsid w:val="4F8922EB"/>
    <w:rsid w:val="50195826"/>
    <w:rsid w:val="517B3CB3"/>
    <w:rsid w:val="5248054A"/>
    <w:rsid w:val="53CB2ED2"/>
    <w:rsid w:val="602120CC"/>
    <w:rsid w:val="609D0881"/>
    <w:rsid w:val="61E1111E"/>
    <w:rsid w:val="693F4FC1"/>
    <w:rsid w:val="6E160D96"/>
    <w:rsid w:val="6E333BB1"/>
    <w:rsid w:val="6E496836"/>
    <w:rsid w:val="6F7124FC"/>
    <w:rsid w:val="70B33ED3"/>
    <w:rsid w:val="758626F7"/>
    <w:rsid w:val="772C1EB4"/>
    <w:rsid w:val="77CD2921"/>
    <w:rsid w:val="782F3180"/>
    <w:rsid w:val="78AF2513"/>
    <w:rsid w:val="7C5C3EF8"/>
    <w:rsid w:val="7E5131B9"/>
    <w:rsid w:val="7F587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numPr>
        <w:ilvl w:val="1"/>
        <w:numId w:val="1"/>
      </w:numPr>
      <w:spacing w:before="260" w:after="260" w:line="416" w:lineRule="auto"/>
      <w:outlineLvl w:val="1"/>
    </w:pPr>
    <w:rPr>
      <w:rFonts w:ascii="Arial" w:hAnsi="Arial" w:eastAsia="黑体"/>
      <w:b/>
      <w:sz w:val="32"/>
      <w:szCs w:val="20"/>
    </w:rPr>
  </w:style>
  <w:style w:type="paragraph" w:styleId="4">
    <w:name w:val="heading 3"/>
    <w:basedOn w:val="1"/>
    <w:next w:val="1"/>
    <w:unhideWhenUsed/>
    <w:qFormat/>
    <w:uiPriority w:val="9"/>
    <w:pPr>
      <w:keepNext/>
      <w:keepLines/>
      <w:spacing w:line="560" w:lineRule="exact"/>
      <w:ind w:firstLine="640" w:firstLineChars="200"/>
      <w:outlineLvl w:val="2"/>
    </w:pPr>
    <w:rPr>
      <w:rFonts w:ascii="Calibri" w:hAnsi="Calibri" w:eastAsia="楷体"/>
      <w:sz w:val="3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index 5"/>
    <w:basedOn w:val="1"/>
    <w:next w:val="1"/>
    <w:qFormat/>
    <w:uiPriority w:val="99"/>
    <w:pPr>
      <w:ind w:left="1680"/>
    </w:pPr>
  </w:style>
  <w:style w:type="paragraph" w:styleId="6">
    <w:name w:val="annotation text"/>
    <w:basedOn w:val="1"/>
    <w:unhideWhenUsed/>
    <w:qFormat/>
    <w:uiPriority w:val="99"/>
  </w:style>
  <w:style w:type="paragraph" w:styleId="7">
    <w:name w:val="toc 3"/>
    <w:basedOn w:val="1"/>
    <w:next w:val="1"/>
    <w:qFormat/>
    <w:uiPriority w:val="0"/>
    <w:pPr>
      <w:ind w:left="840" w:leftChars="400"/>
    </w:pPr>
  </w:style>
  <w:style w:type="paragraph" w:styleId="8">
    <w:name w:val="footer"/>
    <w:basedOn w:val="1"/>
    <w:next w:val="5"/>
    <w:unhideWhenUsed/>
    <w:qFormat/>
    <w:uiPriority w:val="0"/>
    <w:pPr>
      <w:tabs>
        <w:tab w:val="center" w:pos="4153"/>
        <w:tab w:val="right" w:pos="8306"/>
      </w:tabs>
      <w:snapToGrid w:val="0"/>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unhideWhenUsed/>
    <w:qFormat/>
    <w:uiPriority w:val="99"/>
    <w:pPr>
      <w:spacing w:after="120" w:line="480" w:lineRule="auto"/>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spacing w:line="360" w:lineRule="auto"/>
      <w:ind w:left="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Default"/>
    <w:qFormat/>
    <w:uiPriority w:val="99"/>
    <w:pPr>
      <w:widowControl w:val="0"/>
      <w:autoSpaceDE w:val="0"/>
      <w:autoSpaceDN w:val="0"/>
      <w:adjustRightInd w:val="0"/>
    </w:pPr>
    <w:rPr>
      <w:rFonts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4671</Words>
  <Characters>4850</Characters>
  <Lines>0</Lines>
  <Paragraphs>0</Paragraphs>
  <TotalTime>6</TotalTime>
  <ScaleCrop>false</ScaleCrop>
  <LinksUpToDate>false</LinksUpToDate>
  <CharactersWithSpaces>4943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2025-03-17T01:43:00Z</dcterms:created>
  <dc:creator>喵</dc:creator>
  <cp:lastModifiedBy>喵</cp:lastModifiedBy>
  <dcterms:modified xsi:type="dcterms:W3CDTF">2025-05-09T09:12:22Z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67BDB6B47A1448049E03336E3938292E_13</vt:lpwstr>
  </property>
  <property fmtid="{D5CDD505-2E9C-101B-9397-08002B2CF9AE}" pid="4" name="KSOTemplateDocerSaveRecord">
    <vt:lpwstr>eyJoZGlkIjoiOGMxMWEwZjhlNTczZDVlMTc1MWJjNTA1MzhiNjIxYzMiLCJ1c2VySWQiOiI3NjY1OTM0OTMifQ==</vt:lpwstr>
  </property>
</Properties>
</file>