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F573A6">
      <w:pPr>
        <w:spacing w:line="360" w:lineRule="auto"/>
        <w:rPr>
          <w:rFonts w:hint="eastAsia" w:ascii="宋体" w:hAnsi="宋体"/>
          <w:b/>
          <w:color w:val="000000"/>
          <w:szCs w:val="24"/>
        </w:rPr>
      </w:pPr>
      <w:r>
        <w:rPr>
          <w:rFonts w:hint="eastAsia" w:ascii="宋体" w:hAnsi="宋体"/>
          <w:b/>
          <w:color w:val="000000"/>
          <w:sz w:val="32"/>
        </w:rPr>
        <w:t>附件1：</w:t>
      </w:r>
    </w:p>
    <w:p w14:paraId="09408CBD">
      <w:pPr>
        <w:spacing w:line="360" w:lineRule="auto"/>
        <w:jc w:val="center"/>
        <w:rPr>
          <w:rFonts w:hint="eastAsia" w:ascii="宋体" w:hAnsi="宋体"/>
          <w:b/>
          <w:color w:val="000000"/>
          <w:sz w:val="32"/>
        </w:rPr>
      </w:pPr>
      <w:r>
        <w:rPr>
          <w:rFonts w:hint="eastAsia" w:ascii="宋体" w:hAnsi="宋体"/>
          <w:b/>
          <w:color w:val="000000"/>
          <w:sz w:val="32"/>
        </w:rPr>
        <w:t>宝安排水设施GIS系统2</w:t>
      </w:r>
      <w:r>
        <w:rPr>
          <w:rFonts w:ascii="宋体" w:hAnsi="宋体"/>
          <w:b/>
          <w:color w:val="000000"/>
          <w:sz w:val="32"/>
        </w:rPr>
        <w:t>02</w:t>
      </w:r>
      <w:r>
        <w:rPr>
          <w:rFonts w:hint="eastAsia" w:ascii="宋体" w:hAnsi="宋体"/>
          <w:b/>
          <w:color w:val="000000"/>
          <w:sz w:val="32"/>
        </w:rPr>
        <w:t>5</w:t>
      </w:r>
      <w:r>
        <w:rPr>
          <w:rFonts w:ascii="宋体" w:hAnsi="宋体"/>
          <w:b/>
          <w:color w:val="000000"/>
          <w:sz w:val="32"/>
        </w:rPr>
        <w:t>-202</w:t>
      </w:r>
      <w:r>
        <w:rPr>
          <w:rFonts w:hint="eastAsia" w:ascii="宋体" w:hAnsi="宋体"/>
          <w:b/>
          <w:color w:val="000000"/>
          <w:sz w:val="32"/>
        </w:rPr>
        <w:t>6年运维服务需求书</w:t>
      </w:r>
    </w:p>
    <w:p w14:paraId="58BE5605">
      <w:pPr>
        <w:spacing w:after="60" w:line="580" w:lineRule="exact"/>
        <w:ind w:firstLine="482" w:firstLineChars="200"/>
        <w:rPr>
          <w:rFonts w:hint="eastAsia" w:ascii="宋体" w:hAnsi="宋体" w:cs="Courier New"/>
          <w:b/>
          <w:bCs/>
        </w:rPr>
      </w:pPr>
      <w:r>
        <w:rPr>
          <w:rFonts w:hint="eastAsia" w:ascii="宋体" w:hAnsi="宋体" w:cs="Courier New"/>
          <w:b/>
          <w:bCs/>
        </w:rPr>
        <w:t>1</w:t>
      </w:r>
      <w:r>
        <w:rPr>
          <w:rFonts w:ascii="宋体" w:hAnsi="宋体" w:cs="Courier New"/>
          <w:b/>
          <w:bCs/>
        </w:rPr>
        <w:t>.</w:t>
      </w:r>
      <w:r>
        <w:rPr>
          <w:rFonts w:hint="eastAsia" w:ascii="宋体" w:hAnsi="宋体" w:cs="Courier New"/>
          <w:b/>
          <w:bCs/>
        </w:rPr>
        <w:t>系统2</w:t>
      </w:r>
      <w:r>
        <w:rPr>
          <w:rFonts w:ascii="宋体" w:hAnsi="宋体" w:cs="Courier New"/>
          <w:b/>
          <w:bCs/>
        </w:rPr>
        <w:t>02</w:t>
      </w:r>
      <w:r>
        <w:rPr>
          <w:rFonts w:hint="eastAsia" w:ascii="宋体" w:hAnsi="宋体" w:cs="Courier New"/>
          <w:b/>
          <w:bCs/>
        </w:rPr>
        <w:t>5</w:t>
      </w:r>
      <w:r>
        <w:rPr>
          <w:rFonts w:ascii="宋体" w:hAnsi="宋体" w:cs="Courier New"/>
          <w:b/>
          <w:bCs/>
        </w:rPr>
        <w:t>-202</w:t>
      </w:r>
      <w:r>
        <w:rPr>
          <w:rFonts w:hint="eastAsia" w:ascii="宋体" w:hAnsi="宋体" w:cs="Courier New"/>
          <w:b/>
          <w:bCs/>
        </w:rPr>
        <w:t>6年运维服务内容</w:t>
      </w:r>
    </w:p>
    <w:tbl>
      <w:tblPr>
        <w:tblStyle w:val="7"/>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2126"/>
        <w:gridCol w:w="4961"/>
      </w:tblGrid>
      <w:tr w14:paraId="4AE05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560" w:type="dxa"/>
            <w:vAlign w:val="center"/>
          </w:tcPr>
          <w:p w14:paraId="7259782E">
            <w:pPr>
              <w:widowControl/>
              <w:spacing w:before="156" w:beforeLines="50" w:after="312" w:afterLines="100"/>
              <w:ind w:left="57"/>
              <w:jc w:val="center"/>
              <w:rPr>
                <w:rFonts w:hint="eastAsia" w:ascii="宋体" w:hAnsi="宋体" w:cs="宋体"/>
                <w:b/>
                <w:bCs/>
                <w:iCs/>
                <w:color w:val="000000"/>
                <w:szCs w:val="21"/>
              </w:rPr>
            </w:pPr>
            <w:r>
              <w:rPr>
                <w:rFonts w:hint="eastAsia" w:ascii="宋体" w:hAnsi="宋体" w:cs="宋体"/>
                <w:b/>
                <w:bCs/>
                <w:iCs/>
                <w:color w:val="000000"/>
                <w:szCs w:val="21"/>
              </w:rPr>
              <w:t>序号</w:t>
            </w:r>
          </w:p>
        </w:tc>
        <w:tc>
          <w:tcPr>
            <w:tcW w:w="2126" w:type="dxa"/>
            <w:vAlign w:val="center"/>
          </w:tcPr>
          <w:p w14:paraId="6D645E7D">
            <w:pPr>
              <w:widowControl/>
              <w:spacing w:before="156" w:beforeLines="50" w:after="312" w:afterLines="100"/>
              <w:ind w:left="57"/>
              <w:jc w:val="center"/>
              <w:rPr>
                <w:rFonts w:hint="eastAsia" w:ascii="宋体" w:hAnsi="宋体" w:cs="宋体"/>
                <w:b/>
                <w:bCs/>
                <w:iCs/>
                <w:color w:val="000000"/>
                <w:szCs w:val="21"/>
              </w:rPr>
            </w:pPr>
            <w:r>
              <w:rPr>
                <w:rFonts w:hint="eastAsia" w:ascii="宋体" w:hAnsi="宋体" w:cs="宋体"/>
                <w:b/>
                <w:bCs/>
                <w:iCs/>
                <w:color w:val="000000"/>
                <w:szCs w:val="21"/>
              </w:rPr>
              <w:t>项目</w:t>
            </w:r>
          </w:p>
        </w:tc>
        <w:tc>
          <w:tcPr>
            <w:tcW w:w="4961" w:type="dxa"/>
            <w:vAlign w:val="center"/>
          </w:tcPr>
          <w:p w14:paraId="3E89E343">
            <w:pPr>
              <w:widowControl/>
              <w:spacing w:before="156" w:beforeLines="50" w:after="312" w:afterLines="100"/>
              <w:ind w:left="57"/>
              <w:jc w:val="center"/>
              <w:rPr>
                <w:rFonts w:hint="eastAsia" w:ascii="宋体" w:hAnsi="宋体" w:cs="宋体"/>
                <w:b/>
                <w:bCs/>
                <w:iCs/>
                <w:color w:val="000000"/>
                <w:szCs w:val="21"/>
              </w:rPr>
            </w:pPr>
            <w:r>
              <w:rPr>
                <w:rFonts w:hint="eastAsia" w:ascii="宋体" w:hAnsi="宋体" w:cs="宋体"/>
                <w:b/>
                <w:bCs/>
                <w:iCs/>
                <w:color w:val="000000"/>
                <w:szCs w:val="21"/>
              </w:rPr>
              <w:t>内容</w:t>
            </w:r>
          </w:p>
        </w:tc>
      </w:tr>
      <w:tr w14:paraId="2A9DC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trPr>
        <w:tc>
          <w:tcPr>
            <w:tcW w:w="1560" w:type="dxa"/>
            <w:vAlign w:val="center"/>
          </w:tcPr>
          <w:p w14:paraId="1ADA939C">
            <w:pPr>
              <w:widowControl/>
              <w:spacing w:before="156" w:beforeLines="50" w:after="312" w:afterLines="100"/>
              <w:ind w:left="57"/>
              <w:jc w:val="center"/>
              <w:rPr>
                <w:rFonts w:hint="eastAsia" w:ascii="宋体" w:hAnsi="宋体" w:cs="宋体"/>
                <w:bCs/>
                <w:iCs/>
                <w:color w:val="000000"/>
                <w:szCs w:val="21"/>
              </w:rPr>
            </w:pPr>
            <w:r>
              <w:rPr>
                <w:rFonts w:hint="eastAsia" w:ascii="宋体" w:hAnsi="宋体" w:cs="宋体"/>
                <w:bCs/>
                <w:iCs/>
                <w:color w:val="000000"/>
                <w:szCs w:val="21"/>
              </w:rPr>
              <w:t>1</w:t>
            </w:r>
          </w:p>
        </w:tc>
        <w:tc>
          <w:tcPr>
            <w:tcW w:w="2126" w:type="dxa"/>
            <w:vAlign w:val="center"/>
          </w:tcPr>
          <w:p w14:paraId="4E5D9A04">
            <w:pPr>
              <w:widowControl/>
              <w:spacing w:before="156" w:beforeLines="50" w:after="312" w:afterLines="100"/>
              <w:ind w:left="57"/>
              <w:jc w:val="center"/>
              <w:rPr>
                <w:rFonts w:hint="eastAsia" w:ascii="宋体" w:hAnsi="宋体" w:cs="宋体"/>
                <w:bCs/>
                <w:iCs/>
                <w:color w:val="000000"/>
                <w:szCs w:val="21"/>
              </w:rPr>
            </w:pPr>
            <w:r>
              <w:rPr>
                <w:rFonts w:hint="eastAsia" w:ascii="宋体" w:hAnsi="宋体" w:cs="宋体"/>
                <w:bCs/>
                <w:iCs/>
                <w:color w:val="000000"/>
                <w:szCs w:val="21"/>
              </w:rPr>
              <w:t>排水设施GIS系统2025-2026年运维服务</w:t>
            </w:r>
          </w:p>
        </w:tc>
        <w:tc>
          <w:tcPr>
            <w:tcW w:w="4961" w:type="dxa"/>
            <w:vAlign w:val="center"/>
          </w:tcPr>
          <w:p w14:paraId="77EA7D31">
            <w:pPr>
              <w:pStyle w:val="12"/>
              <w:ind w:firstLine="0" w:firstLineChars="0"/>
              <w:jc w:val="left"/>
              <w:rPr>
                <w:rFonts w:hint="eastAsia" w:ascii="宋体" w:hAnsi="宋体" w:cs="宋体"/>
              </w:rPr>
            </w:pPr>
            <w:r>
              <w:rPr>
                <w:rFonts w:hint="eastAsia" w:ascii="宋体" w:hAnsi="宋体" w:cs="宋体"/>
              </w:rPr>
              <w:t>1.处理C/S端、B/S端和M/S端出现的问题：处理现有功能出现的问题并进行日常维护。</w:t>
            </w:r>
          </w:p>
          <w:p w14:paraId="79D1B6A9">
            <w:pPr>
              <w:pStyle w:val="12"/>
              <w:ind w:firstLine="0" w:firstLineChars="0"/>
              <w:jc w:val="left"/>
              <w:rPr>
                <w:rFonts w:hint="eastAsia" w:ascii="宋体" w:hAnsi="宋体" w:cs="宋体"/>
              </w:rPr>
            </w:pPr>
            <w:r>
              <w:rPr>
                <w:rFonts w:hint="eastAsia" w:ascii="宋体" w:hAnsi="宋体" w:cs="宋体"/>
              </w:rPr>
              <w:t>2.系统巡检：按月对系统各功能模块及服务器进行检查，发现异常第一时间处理</w:t>
            </w:r>
            <w:bookmarkStart w:id="0" w:name="_GoBack"/>
            <w:bookmarkEnd w:id="0"/>
            <w:r>
              <w:rPr>
                <w:rFonts w:hint="eastAsia" w:ascii="宋体" w:hAnsi="宋体" w:cs="宋体"/>
              </w:rPr>
              <w:t>。</w:t>
            </w:r>
          </w:p>
          <w:p w14:paraId="7D5966F4">
            <w:pPr>
              <w:pStyle w:val="12"/>
              <w:ind w:firstLine="0" w:firstLineChars="0"/>
              <w:jc w:val="left"/>
              <w:rPr>
                <w:rFonts w:hint="eastAsia" w:ascii="宋体" w:hAnsi="宋体" w:cs="宋体"/>
              </w:rPr>
            </w:pPr>
            <w:r>
              <w:rPr>
                <w:rFonts w:hint="eastAsia" w:ascii="宋体" w:hAnsi="宋体" w:cs="宋体"/>
              </w:rPr>
              <w:t>3.数据库、系统与服务器升级维护：保障日常正常运行，迭代系统版本。</w:t>
            </w:r>
          </w:p>
          <w:p w14:paraId="69CF9EB1">
            <w:pPr>
              <w:pStyle w:val="12"/>
              <w:ind w:firstLine="0" w:firstLineChars="0"/>
              <w:jc w:val="left"/>
              <w:rPr>
                <w:rFonts w:hint="eastAsia" w:ascii="宋体" w:hAnsi="宋体" w:cs="宋体"/>
              </w:rPr>
            </w:pPr>
            <w:r>
              <w:rPr>
                <w:rFonts w:hint="eastAsia" w:ascii="宋体" w:hAnsi="宋体" w:cs="宋体"/>
              </w:rPr>
              <w:t>4.第三方接口维护：维护系统与第三方系统的各类接口，保持稳定传输。</w:t>
            </w:r>
          </w:p>
          <w:p w14:paraId="5D07D679">
            <w:pPr>
              <w:pStyle w:val="12"/>
              <w:ind w:firstLine="0" w:firstLineChars="0"/>
              <w:jc w:val="left"/>
              <w:rPr>
                <w:rFonts w:hint="eastAsia" w:ascii="宋体" w:hAnsi="宋体" w:cs="宋体"/>
              </w:rPr>
            </w:pPr>
            <w:r>
              <w:rPr>
                <w:rFonts w:hint="eastAsia" w:ascii="宋体" w:hAnsi="宋体" w:cs="宋体"/>
              </w:rPr>
              <w:t>5.日常数据维护：GIS数据结构标准更新维护、数据统计、清洗无效数据。</w:t>
            </w:r>
          </w:p>
          <w:p w14:paraId="10BBC88F">
            <w:pPr>
              <w:pStyle w:val="12"/>
              <w:ind w:firstLine="0" w:firstLineChars="0"/>
              <w:jc w:val="left"/>
              <w:rPr>
                <w:rFonts w:hint="eastAsia" w:ascii="宋体" w:hAnsi="宋体" w:cs="宋体"/>
              </w:rPr>
            </w:pPr>
            <w:r>
              <w:rPr>
                <w:rFonts w:hint="eastAsia" w:ascii="宋体" w:hAnsi="宋体" w:cs="宋体"/>
              </w:rPr>
              <w:t>6.配合采购人向上级单位汇交数据及配合入库暗渠化检测等数据。</w:t>
            </w:r>
          </w:p>
          <w:p w14:paraId="0F09DF4F">
            <w:pPr>
              <w:pStyle w:val="12"/>
              <w:ind w:firstLine="0" w:firstLineChars="0"/>
              <w:jc w:val="left"/>
              <w:rPr>
                <w:rFonts w:hint="eastAsia" w:ascii="宋体" w:hAnsi="宋体" w:cs="宋体"/>
              </w:rPr>
            </w:pPr>
            <w:r>
              <w:rPr>
                <w:rFonts w:hint="eastAsia" w:ascii="宋体" w:hAnsi="宋体" w:cs="宋体"/>
              </w:rPr>
              <w:t>7.系统培训、安装部署：根据采购人工作需要，配合做好系统的安装部署和培训。</w:t>
            </w:r>
          </w:p>
          <w:p w14:paraId="08C88683">
            <w:pPr>
              <w:pStyle w:val="12"/>
              <w:ind w:firstLine="0" w:firstLineChars="0"/>
              <w:jc w:val="left"/>
              <w:rPr>
                <w:rFonts w:hint="eastAsia" w:ascii="宋体" w:hAnsi="宋体" w:cs="宋体"/>
              </w:rPr>
            </w:pPr>
            <w:r>
              <w:rPr>
                <w:rFonts w:hint="eastAsia" w:ascii="宋体" w:hAnsi="宋体" w:cs="宋体"/>
              </w:rPr>
              <w:t>8.系统安全及数据备份：做好系统数据备份，配合采购人做好系统漏洞扫描、修复以及等保测评。</w:t>
            </w:r>
          </w:p>
          <w:p w14:paraId="0FDCF488">
            <w:pPr>
              <w:pStyle w:val="12"/>
              <w:ind w:firstLine="0" w:firstLineChars="0"/>
              <w:jc w:val="left"/>
              <w:rPr>
                <w:rFonts w:hint="eastAsia" w:ascii="宋体" w:hAnsi="宋体" w:cs="宋体"/>
              </w:rPr>
            </w:pPr>
            <w:r>
              <w:rPr>
                <w:rFonts w:hint="eastAsia" w:ascii="宋体" w:hAnsi="宋体" w:cs="宋体"/>
              </w:rPr>
              <w:t>9.运维期限为1年，自合同签订之日起算。</w:t>
            </w:r>
          </w:p>
        </w:tc>
      </w:tr>
    </w:tbl>
    <w:p w14:paraId="0E5B0B13">
      <w:pPr>
        <w:pStyle w:val="2"/>
        <w:ind w:left="0" w:leftChars="0" w:firstLine="0" w:firstLineChars="0"/>
      </w:pPr>
    </w:p>
    <w:p w14:paraId="6E8566CC">
      <w:pPr>
        <w:spacing w:after="60" w:line="580" w:lineRule="exact"/>
        <w:ind w:firstLine="482" w:firstLineChars="200"/>
        <w:rPr>
          <w:rFonts w:hint="eastAsia" w:ascii="宋体" w:hAnsi="宋体" w:eastAsia="宋体" w:cs="Courier New"/>
          <w:b/>
          <w:bCs/>
          <w:lang w:eastAsia="zh-CN"/>
        </w:rPr>
      </w:pPr>
      <w:r>
        <w:rPr>
          <w:rFonts w:hint="eastAsia" w:ascii="宋体" w:hAnsi="宋体" w:cs="Courier New"/>
          <w:b/>
          <w:bCs/>
        </w:rPr>
        <w:t>2</w:t>
      </w:r>
      <w:r>
        <w:rPr>
          <w:rFonts w:ascii="宋体" w:hAnsi="宋体" w:cs="Courier New"/>
          <w:b/>
          <w:bCs/>
        </w:rPr>
        <w:t>.</w:t>
      </w:r>
      <w:r>
        <w:rPr>
          <w:rFonts w:hint="eastAsia" w:ascii="宋体" w:hAnsi="宋体" w:cs="Courier New"/>
          <w:b/>
          <w:bCs/>
        </w:rPr>
        <w:t xml:space="preserve"> 系统2</w:t>
      </w:r>
      <w:r>
        <w:rPr>
          <w:rFonts w:ascii="宋体" w:hAnsi="宋体" w:cs="Courier New"/>
          <w:b/>
          <w:bCs/>
        </w:rPr>
        <w:t>02</w:t>
      </w:r>
      <w:r>
        <w:rPr>
          <w:rFonts w:hint="eastAsia" w:ascii="宋体" w:hAnsi="宋体" w:cs="Courier New"/>
          <w:b/>
          <w:bCs/>
        </w:rPr>
        <w:t>5</w:t>
      </w:r>
      <w:r>
        <w:rPr>
          <w:rFonts w:ascii="宋体" w:hAnsi="宋体" w:cs="Courier New"/>
          <w:b/>
          <w:bCs/>
        </w:rPr>
        <w:t>-202</w:t>
      </w:r>
      <w:r>
        <w:rPr>
          <w:rFonts w:hint="eastAsia" w:ascii="宋体" w:hAnsi="宋体" w:cs="Courier New"/>
          <w:b/>
          <w:bCs/>
        </w:rPr>
        <w:t>6年运维服务要求</w:t>
      </w:r>
    </w:p>
    <w:p w14:paraId="5882BFA3">
      <w:pPr>
        <w:spacing w:line="600" w:lineRule="auto"/>
        <w:jc w:val="left"/>
        <w:rPr>
          <w:rFonts w:hint="eastAsia" w:ascii="宋体" w:hAnsi="宋体"/>
          <w:b/>
        </w:rPr>
      </w:pPr>
      <w:r>
        <w:rPr>
          <w:rFonts w:hint="eastAsia" w:ascii="宋体" w:hAnsi="宋体"/>
          <w:b/>
        </w:rPr>
        <w:t>（1）服务方式</w:t>
      </w:r>
    </w:p>
    <w:tbl>
      <w:tblPr>
        <w:tblStyle w:val="7"/>
        <w:tblW w:w="8590" w:type="dxa"/>
        <w:tblInd w:w="0" w:type="dxa"/>
        <w:tblLayout w:type="autofit"/>
        <w:tblCellMar>
          <w:top w:w="0" w:type="dxa"/>
          <w:left w:w="108" w:type="dxa"/>
          <w:bottom w:w="0" w:type="dxa"/>
          <w:right w:w="108" w:type="dxa"/>
        </w:tblCellMar>
      </w:tblPr>
      <w:tblGrid>
        <w:gridCol w:w="1112"/>
        <w:gridCol w:w="2242"/>
        <w:gridCol w:w="1678"/>
        <w:gridCol w:w="1455"/>
        <w:gridCol w:w="1867"/>
        <w:gridCol w:w="236"/>
      </w:tblGrid>
      <w:tr w14:paraId="6FBFA3D0">
        <w:tblPrEx>
          <w:tblCellMar>
            <w:top w:w="0" w:type="dxa"/>
            <w:left w:w="108" w:type="dxa"/>
            <w:bottom w:w="0" w:type="dxa"/>
            <w:right w:w="108" w:type="dxa"/>
          </w:tblCellMar>
        </w:tblPrEx>
        <w:trPr>
          <w:gridAfter w:val="1"/>
          <w:wAfter w:w="236" w:type="dxa"/>
          <w:trHeight w:val="624" w:hRule="atLeast"/>
        </w:trPr>
        <w:tc>
          <w:tcPr>
            <w:tcW w:w="1112" w:type="dxa"/>
            <w:tcBorders>
              <w:top w:val="single" w:color="auto" w:sz="8" w:space="0"/>
              <w:left w:val="single" w:color="auto" w:sz="8" w:space="0"/>
              <w:bottom w:val="single" w:color="auto" w:sz="8" w:space="0"/>
              <w:right w:val="single" w:color="auto" w:sz="8" w:space="0"/>
            </w:tcBorders>
            <w:shd w:val="clear" w:color="auto" w:fill="B8CCE4"/>
            <w:vAlign w:val="center"/>
          </w:tcPr>
          <w:p w14:paraId="2842C5E4">
            <w:pPr>
              <w:widowControl/>
              <w:jc w:val="center"/>
              <w:rPr>
                <w:rFonts w:hint="eastAsia" w:ascii="宋体" w:hAnsi="宋体" w:cs="宋体"/>
                <w:b/>
                <w:bCs/>
                <w:color w:val="000000"/>
                <w:kern w:val="0"/>
                <w:sz w:val="20"/>
              </w:rPr>
            </w:pPr>
            <w:r>
              <w:rPr>
                <w:rFonts w:hint="eastAsia" w:ascii="宋体" w:hAnsi="宋体" w:cs="宋体"/>
                <w:b/>
                <w:bCs/>
                <w:color w:val="000000"/>
                <w:kern w:val="0"/>
                <w:sz w:val="20"/>
              </w:rPr>
              <w:t>服务内容</w:t>
            </w:r>
          </w:p>
        </w:tc>
        <w:tc>
          <w:tcPr>
            <w:tcW w:w="2242" w:type="dxa"/>
            <w:tcBorders>
              <w:top w:val="single" w:color="auto" w:sz="8" w:space="0"/>
              <w:left w:val="nil"/>
              <w:bottom w:val="single" w:color="auto" w:sz="8" w:space="0"/>
              <w:right w:val="single" w:color="auto" w:sz="8" w:space="0"/>
            </w:tcBorders>
            <w:shd w:val="clear" w:color="auto" w:fill="B8CCE4"/>
            <w:vAlign w:val="center"/>
          </w:tcPr>
          <w:p w14:paraId="24AE71A1">
            <w:pPr>
              <w:widowControl/>
              <w:jc w:val="center"/>
              <w:rPr>
                <w:rFonts w:hint="eastAsia" w:ascii="宋体" w:hAnsi="宋体" w:cs="宋体"/>
                <w:b/>
                <w:bCs/>
                <w:color w:val="000000"/>
                <w:kern w:val="0"/>
                <w:sz w:val="20"/>
              </w:rPr>
            </w:pPr>
            <w:r>
              <w:rPr>
                <w:rFonts w:hint="eastAsia" w:ascii="宋体" w:hAnsi="宋体" w:cs="宋体"/>
                <w:b/>
                <w:bCs/>
                <w:color w:val="000000"/>
                <w:kern w:val="0"/>
                <w:sz w:val="20"/>
              </w:rPr>
              <w:t>服务范围</w:t>
            </w:r>
          </w:p>
        </w:tc>
        <w:tc>
          <w:tcPr>
            <w:tcW w:w="1678" w:type="dxa"/>
            <w:tcBorders>
              <w:top w:val="single" w:color="auto" w:sz="8" w:space="0"/>
              <w:left w:val="nil"/>
              <w:bottom w:val="single" w:color="auto" w:sz="8" w:space="0"/>
              <w:right w:val="single" w:color="auto" w:sz="8" w:space="0"/>
            </w:tcBorders>
            <w:shd w:val="clear" w:color="auto" w:fill="B8CCE4"/>
            <w:vAlign w:val="center"/>
          </w:tcPr>
          <w:p w14:paraId="5349F0FF">
            <w:pPr>
              <w:widowControl/>
              <w:jc w:val="center"/>
              <w:rPr>
                <w:rFonts w:hint="eastAsia" w:ascii="宋体" w:hAnsi="宋体" w:cs="宋体"/>
                <w:b/>
                <w:bCs/>
                <w:color w:val="000000"/>
                <w:kern w:val="0"/>
                <w:sz w:val="20"/>
              </w:rPr>
            </w:pPr>
            <w:r>
              <w:rPr>
                <w:rFonts w:hint="eastAsia" w:ascii="宋体" w:hAnsi="宋体" w:cs="宋体"/>
                <w:b/>
                <w:bCs/>
                <w:color w:val="000000"/>
                <w:kern w:val="0"/>
                <w:sz w:val="20"/>
              </w:rPr>
              <w:t>可提供服务次数</w:t>
            </w:r>
          </w:p>
        </w:tc>
        <w:tc>
          <w:tcPr>
            <w:tcW w:w="1455" w:type="dxa"/>
            <w:tcBorders>
              <w:top w:val="single" w:color="auto" w:sz="8" w:space="0"/>
              <w:left w:val="nil"/>
              <w:bottom w:val="single" w:color="auto" w:sz="8" w:space="0"/>
              <w:right w:val="single" w:color="auto" w:sz="8" w:space="0"/>
            </w:tcBorders>
            <w:shd w:val="clear" w:color="auto" w:fill="B8CCE4"/>
            <w:vAlign w:val="center"/>
          </w:tcPr>
          <w:p w14:paraId="56AF59BA">
            <w:pPr>
              <w:widowControl/>
              <w:jc w:val="center"/>
              <w:rPr>
                <w:rFonts w:hint="eastAsia" w:ascii="宋体" w:hAnsi="宋体" w:cs="宋体"/>
                <w:b/>
                <w:bCs/>
                <w:color w:val="000000"/>
                <w:kern w:val="0"/>
                <w:sz w:val="20"/>
              </w:rPr>
            </w:pPr>
            <w:r>
              <w:rPr>
                <w:rFonts w:hint="eastAsia" w:ascii="宋体" w:hAnsi="宋体" w:cs="宋体"/>
                <w:b/>
                <w:bCs/>
                <w:color w:val="000000"/>
                <w:kern w:val="0"/>
                <w:sz w:val="20"/>
              </w:rPr>
              <w:t>服务时间</w:t>
            </w:r>
          </w:p>
        </w:tc>
        <w:tc>
          <w:tcPr>
            <w:tcW w:w="1867" w:type="dxa"/>
            <w:tcBorders>
              <w:top w:val="single" w:color="auto" w:sz="8" w:space="0"/>
              <w:left w:val="nil"/>
              <w:bottom w:val="single" w:color="auto" w:sz="8" w:space="0"/>
              <w:right w:val="single" w:color="auto" w:sz="8" w:space="0"/>
            </w:tcBorders>
            <w:shd w:val="clear" w:color="auto" w:fill="B8CCE4"/>
            <w:vAlign w:val="center"/>
          </w:tcPr>
          <w:p w14:paraId="20120E69">
            <w:pPr>
              <w:widowControl/>
              <w:jc w:val="center"/>
              <w:rPr>
                <w:rFonts w:hint="eastAsia" w:ascii="宋体" w:hAnsi="宋体" w:cs="宋体"/>
                <w:b/>
                <w:bCs/>
                <w:color w:val="000000"/>
                <w:kern w:val="0"/>
                <w:sz w:val="20"/>
              </w:rPr>
            </w:pPr>
            <w:r>
              <w:rPr>
                <w:rFonts w:hint="eastAsia" w:ascii="宋体" w:hAnsi="宋体" w:cs="宋体"/>
                <w:b/>
                <w:bCs/>
                <w:color w:val="000000"/>
                <w:kern w:val="0"/>
                <w:sz w:val="20"/>
              </w:rPr>
              <w:t>备注</w:t>
            </w:r>
          </w:p>
        </w:tc>
      </w:tr>
      <w:tr w14:paraId="1A017A43">
        <w:tblPrEx>
          <w:tblCellMar>
            <w:top w:w="0" w:type="dxa"/>
            <w:left w:w="108" w:type="dxa"/>
            <w:bottom w:w="0" w:type="dxa"/>
            <w:right w:w="108" w:type="dxa"/>
          </w:tblCellMar>
        </w:tblPrEx>
        <w:trPr>
          <w:gridAfter w:val="1"/>
          <w:wAfter w:w="236" w:type="dxa"/>
          <w:trHeight w:val="660" w:hRule="atLeast"/>
        </w:trPr>
        <w:tc>
          <w:tcPr>
            <w:tcW w:w="1112" w:type="dxa"/>
            <w:tcBorders>
              <w:top w:val="nil"/>
              <w:left w:val="single" w:color="auto" w:sz="8" w:space="0"/>
              <w:bottom w:val="single" w:color="auto" w:sz="8" w:space="0"/>
              <w:right w:val="single" w:color="auto" w:sz="8" w:space="0"/>
            </w:tcBorders>
            <w:vAlign w:val="center"/>
          </w:tcPr>
          <w:p w14:paraId="25FC6251">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电话支持</w:t>
            </w:r>
          </w:p>
        </w:tc>
        <w:tc>
          <w:tcPr>
            <w:tcW w:w="2242" w:type="dxa"/>
            <w:tcBorders>
              <w:top w:val="nil"/>
              <w:left w:val="nil"/>
              <w:bottom w:val="single" w:color="auto" w:sz="8" w:space="0"/>
              <w:right w:val="single" w:color="auto" w:sz="8" w:space="0"/>
            </w:tcBorders>
            <w:vAlign w:val="center"/>
          </w:tcPr>
          <w:p w14:paraId="5E548BB9">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由供应商向采购人提供热线电话、技术服务解答系统的使用维护问题</w:t>
            </w:r>
          </w:p>
        </w:tc>
        <w:tc>
          <w:tcPr>
            <w:tcW w:w="1678" w:type="dxa"/>
            <w:tcBorders>
              <w:top w:val="nil"/>
              <w:left w:val="nil"/>
              <w:bottom w:val="single" w:color="auto" w:sz="8" w:space="0"/>
              <w:right w:val="single" w:color="auto" w:sz="8" w:space="0"/>
            </w:tcBorders>
            <w:vAlign w:val="center"/>
          </w:tcPr>
          <w:p w14:paraId="6C81314A">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334CD21A">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工作时间周一到周五9:00-18:00（法定节假日除外）</w:t>
            </w:r>
          </w:p>
        </w:tc>
        <w:tc>
          <w:tcPr>
            <w:tcW w:w="1867" w:type="dxa"/>
            <w:tcBorders>
              <w:top w:val="nil"/>
              <w:left w:val="nil"/>
              <w:bottom w:val="single" w:color="auto" w:sz="8" w:space="0"/>
              <w:right w:val="single" w:color="auto" w:sz="8" w:space="0"/>
            </w:tcBorders>
            <w:vAlign w:val="center"/>
          </w:tcPr>
          <w:p w14:paraId="252510C7">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r>
      <w:tr w14:paraId="7B7703B3">
        <w:tblPrEx>
          <w:tblCellMar>
            <w:top w:w="0" w:type="dxa"/>
            <w:left w:w="108" w:type="dxa"/>
            <w:bottom w:w="0" w:type="dxa"/>
            <w:right w:w="108" w:type="dxa"/>
          </w:tblCellMar>
        </w:tblPrEx>
        <w:trPr>
          <w:gridAfter w:val="1"/>
          <w:wAfter w:w="236" w:type="dxa"/>
          <w:trHeight w:val="618" w:hRule="atLeast"/>
        </w:trPr>
        <w:tc>
          <w:tcPr>
            <w:tcW w:w="1112" w:type="dxa"/>
            <w:tcBorders>
              <w:top w:val="nil"/>
              <w:left w:val="single" w:color="auto" w:sz="8" w:space="0"/>
              <w:bottom w:val="single" w:color="auto" w:sz="8" w:space="0"/>
              <w:right w:val="single" w:color="auto" w:sz="8" w:space="0"/>
            </w:tcBorders>
            <w:vAlign w:val="center"/>
          </w:tcPr>
          <w:p w14:paraId="45BC1942">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在线远程登陆维护</w:t>
            </w:r>
          </w:p>
        </w:tc>
        <w:tc>
          <w:tcPr>
            <w:tcW w:w="2242" w:type="dxa"/>
            <w:tcBorders>
              <w:top w:val="nil"/>
              <w:left w:val="nil"/>
              <w:bottom w:val="single" w:color="auto" w:sz="8" w:space="0"/>
              <w:right w:val="single" w:color="auto" w:sz="8" w:space="0"/>
            </w:tcBorders>
            <w:vAlign w:val="center"/>
          </w:tcPr>
          <w:p w14:paraId="5C21C64D">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用QQ或其他远程控制系统对采购人使用的服务范围内规定软件进行维护调试</w:t>
            </w:r>
          </w:p>
        </w:tc>
        <w:tc>
          <w:tcPr>
            <w:tcW w:w="1678" w:type="dxa"/>
            <w:tcBorders>
              <w:top w:val="nil"/>
              <w:left w:val="nil"/>
              <w:bottom w:val="single" w:color="auto" w:sz="8" w:space="0"/>
              <w:right w:val="single" w:color="auto" w:sz="8" w:space="0"/>
            </w:tcBorders>
            <w:vAlign w:val="center"/>
          </w:tcPr>
          <w:p w14:paraId="16C16333">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14074C3C">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工作时间：周一到周五9:00-18:00（法定节假日除外）</w:t>
            </w:r>
          </w:p>
        </w:tc>
        <w:tc>
          <w:tcPr>
            <w:tcW w:w="1867" w:type="dxa"/>
            <w:tcBorders>
              <w:top w:val="nil"/>
              <w:left w:val="nil"/>
              <w:bottom w:val="single" w:color="auto" w:sz="8" w:space="0"/>
              <w:right w:val="single" w:color="auto" w:sz="8" w:space="0"/>
            </w:tcBorders>
            <w:vAlign w:val="center"/>
          </w:tcPr>
          <w:p w14:paraId="77044FD1">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r>
      <w:tr w14:paraId="2565C0B0">
        <w:tblPrEx>
          <w:tblCellMar>
            <w:top w:w="0" w:type="dxa"/>
            <w:left w:w="108" w:type="dxa"/>
            <w:bottom w:w="0" w:type="dxa"/>
            <w:right w:w="108" w:type="dxa"/>
          </w:tblCellMar>
        </w:tblPrEx>
        <w:trPr>
          <w:gridAfter w:val="1"/>
          <w:wAfter w:w="236" w:type="dxa"/>
          <w:trHeight w:val="1182" w:hRule="atLeast"/>
        </w:trPr>
        <w:tc>
          <w:tcPr>
            <w:tcW w:w="1112" w:type="dxa"/>
            <w:tcBorders>
              <w:top w:val="nil"/>
              <w:left w:val="single" w:color="auto" w:sz="8" w:space="0"/>
              <w:bottom w:val="single" w:color="auto" w:sz="8" w:space="0"/>
              <w:right w:val="single" w:color="auto" w:sz="8" w:space="0"/>
            </w:tcBorders>
            <w:vAlign w:val="center"/>
          </w:tcPr>
          <w:p w14:paraId="1FD5F71F">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邮件服务</w:t>
            </w:r>
          </w:p>
        </w:tc>
        <w:tc>
          <w:tcPr>
            <w:tcW w:w="2242" w:type="dxa"/>
            <w:tcBorders>
              <w:top w:val="nil"/>
              <w:left w:val="nil"/>
              <w:bottom w:val="single" w:color="auto" w:sz="8" w:space="0"/>
              <w:right w:val="single" w:color="auto" w:sz="8" w:space="0"/>
            </w:tcBorders>
            <w:vAlign w:val="center"/>
          </w:tcPr>
          <w:p w14:paraId="6E7614EF">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正常工作日供应商在接收到采购人服务支持请求邮件后的8小时内为采购人提供技术服务。非工作日供应商在接收到采购人服务支持请求邮件后的第一个工作日18:00前为采购人提供技术服务</w:t>
            </w:r>
          </w:p>
        </w:tc>
        <w:tc>
          <w:tcPr>
            <w:tcW w:w="1678" w:type="dxa"/>
            <w:tcBorders>
              <w:top w:val="nil"/>
              <w:left w:val="nil"/>
              <w:bottom w:val="single" w:color="auto" w:sz="8" w:space="0"/>
              <w:right w:val="single" w:color="auto" w:sz="8" w:space="0"/>
            </w:tcBorders>
            <w:vAlign w:val="center"/>
          </w:tcPr>
          <w:p w14:paraId="430E0943">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0C8633AC">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工作时间：周一到周五9:00-18:00（法定节假日除外）</w:t>
            </w:r>
          </w:p>
        </w:tc>
        <w:tc>
          <w:tcPr>
            <w:tcW w:w="1867" w:type="dxa"/>
            <w:tcBorders>
              <w:top w:val="nil"/>
              <w:left w:val="nil"/>
              <w:bottom w:val="single" w:color="auto" w:sz="8" w:space="0"/>
              <w:right w:val="single" w:color="auto" w:sz="8" w:space="0"/>
            </w:tcBorders>
            <w:vAlign w:val="center"/>
          </w:tcPr>
          <w:p w14:paraId="13790948">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r>
      <w:tr w14:paraId="38ACF244">
        <w:tblPrEx>
          <w:tblCellMar>
            <w:top w:w="0" w:type="dxa"/>
            <w:left w:w="108" w:type="dxa"/>
            <w:bottom w:w="0" w:type="dxa"/>
            <w:right w:w="108" w:type="dxa"/>
          </w:tblCellMar>
        </w:tblPrEx>
        <w:trPr>
          <w:gridAfter w:val="1"/>
          <w:wAfter w:w="236" w:type="dxa"/>
          <w:trHeight w:val="618" w:hRule="atLeast"/>
        </w:trPr>
        <w:tc>
          <w:tcPr>
            <w:tcW w:w="1112" w:type="dxa"/>
            <w:tcBorders>
              <w:top w:val="nil"/>
              <w:left w:val="single" w:color="auto" w:sz="8" w:space="0"/>
              <w:bottom w:val="single" w:color="auto" w:sz="8" w:space="0"/>
              <w:right w:val="single" w:color="auto" w:sz="8" w:space="0"/>
            </w:tcBorders>
            <w:vAlign w:val="center"/>
          </w:tcPr>
          <w:p w14:paraId="4B9DD5E3">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客户交流会</w:t>
            </w:r>
          </w:p>
        </w:tc>
        <w:tc>
          <w:tcPr>
            <w:tcW w:w="2242" w:type="dxa"/>
            <w:tcBorders>
              <w:top w:val="nil"/>
              <w:left w:val="nil"/>
              <w:bottom w:val="single" w:color="auto" w:sz="8" w:space="0"/>
              <w:right w:val="single" w:color="auto" w:sz="8" w:space="0"/>
            </w:tcBorders>
            <w:vAlign w:val="center"/>
          </w:tcPr>
          <w:p w14:paraId="012336EB">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可以参加供应商举办的客户交流会，培训免费，但交通和食宿自理</w:t>
            </w:r>
          </w:p>
        </w:tc>
        <w:tc>
          <w:tcPr>
            <w:tcW w:w="1678" w:type="dxa"/>
            <w:tcBorders>
              <w:top w:val="nil"/>
              <w:left w:val="nil"/>
              <w:bottom w:val="single" w:color="auto" w:sz="8" w:space="0"/>
              <w:right w:val="single" w:color="auto" w:sz="8" w:space="0"/>
            </w:tcBorders>
            <w:vAlign w:val="center"/>
          </w:tcPr>
          <w:p w14:paraId="3EFE737E">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42A1835D">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1867" w:type="dxa"/>
            <w:tcBorders>
              <w:top w:val="nil"/>
              <w:left w:val="nil"/>
              <w:bottom w:val="single" w:color="auto" w:sz="8" w:space="0"/>
              <w:right w:val="single" w:color="auto" w:sz="8" w:space="0"/>
            </w:tcBorders>
            <w:vAlign w:val="center"/>
          </w:tcPr>
          <w:p w14:paraId="49395CE1">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r>
      <w:tr w14:paraId="1A258708">
        <w:tblPrEx>
          <w:tblCellMar>
            <w:top w:w="0" w:type="dxa"/>
            <w:left w:w="108" w:type="dxa"/>
            <w:bottom w:w="0" w:type="dxa"/>
            <w:right w:w="108" w:type="dxa"/>
          </w:tblCellMar>
        </w:tblPrEx>
        <w:trPr>
          <w:trHeight w:val="288" w:hRule="atLeast"/>
        </w:trPr>
        <w:tc>
          <w:tcPr>
            <w:tcW w:w="1112" w:type="dxa"/>
            <w:vMerge w:val="restart"/>
            <w:tcBorders>
              <w:top w:val="nil"/>
              <w:left w:val="single" w:color="auto" w:sz="8" w:space="0"/>
              <w:bottom w:val="single" w:color="auto" w:sz="8" w:space="0"/>
              <w:right w:val="single" w:color="auto" w:sz="8" w:space="0"/>
            </w:tcBorders>
            <w:vAlign w:val="center"/>
          </w:tcPr>
          <w:p w14:paraId="5DD6DBF7">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日常数据统计或更新</w:t>
            </w:r>
          </w:p>
        </w:tc>
        <w:tc>
          <w:tcPr>
            <w:tcW w:w="2242" w:type="dxa"/>
            <w:vMerge w:val="restart"/>
            <w:tcBorders>
              <w:top w:val="nil"/>
              <w:left w:val="nil"/>
              <w:bottom w:val="single" w:color="000000" w:sz="8" w:space="0"/>
              <w:right w:val="single" w:color="auto" w:sz="8" w:space="0"/>
            </w:tcBorders>
            <w:vAlign w:val="center"/>
          </w:tcPr>
          <w:p w14:paraId="16C17497">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协助采购人进行数据统计和更新系统数据。</w:t>
            </w:r>
          </w:p>
        </w:tc>
        <w:tc>
          <w:tcPr>
            <w:tcW w:w="1678" w:type="dxa"/>
            <w:vMerge w:val="restart"/>
            <w:tcBorders>
              <w:top w:val="nil"/>
              <w:left w:val="nil"/>
              <w:bottom w:val="single" w:color="000000" w:sz="8" w:space="0"/>
              <w:right w:val="single" w:color="auto" w:sz="8" w:space="0"/>
            </w:tcBorders>
            <w:vAlign w:val="center"/>
          </w:tcPr>
          <w:p w14:paraId="16A280E0">
            <w:pPr>
              <w:widowControl/>
              <w:jc w:val="center"/>
              <w:rPr>
                <w:rFonts w:hint="eastAsia" w:ascii="宋体" w:hAnsi="宋体" w:cs="宋体"/>
                <w:kern w:val="0"/>
                <w:sz w:val="18"/>
                <w:szCs w:val="18"/>
              </w:rPr>
            </w:pPr>
            <w:r>
              <w:rPr>
                <w:rFonts w:hint="eastAsia" w:ascii="宋体" w:hAnsi="宋体" w:cs="宋体"/>
                <w:kern w:val="0"/>
                <w:sz w:val="18"/>
                <w:szCs w:val="18"/>
              </w:rPr>
              <w:t>不限</w:t>
            </w:r>
          </w:p>
        </w:tc>
        <w:tc>
          <w:tcPr>
            <w:tcW w:w="1455" w:type="dxa"/>
            <w:vMerge w:val="restart"/>
            <w:tcBorders>
              <w:top w:val="nil"/>
              <w:left w:val="nil"/>
              <w:bottom w:val="single" w:color="auto" w:sz="8" w:space="0"/>
              <w:right w:val="single" w:color="auto" w:sz="8" w:space="0"/>
            </w:tcBorders>
            <w:vAlign w:val="center"/>
          </w:tcPr>
          <w:p w14:paraId="7336D7CE">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1867" w:type="dxa"/>
            <w:vMerge w:val="restart"/>
            <w:tcBorders>
              <w:top w:val="nil"/>
              <w:left w:val="nil"/>
              <w:bottom w:val="single" w:color="auto" w:sz="8" w:space="0"/>
              <w:right w:val="single" w:color="auto" w:sz="8" w:space="0"/>
            </w:tcBorders>
            <w:vAlign w:val="center"/>
          </w:tcPr>
          <w:p w14:paraId="1A01F026">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236" w:type="dxa"/>
            <w:noWrap/>
            <w:vAlign w:val="center"/>
          </w:tcPr>
          <w:p w14:paraId="5766B473">
            <w:pPr>
              <w:widowControl/>
              <w:jc w:val="center"/>
              <w:rPr>
                <w:rFonts w:hint="eastAsia" w:ascii="宋体" w:hAnsi="宋体" w:cs="宋体"/>
                <w:color w:val="000000"/>
                <w:kern w:val="0"/>
                <w:sz w:val="18"/>
                <w:szCs w:val="18"/>
              </w:rPr>
            </w:pPr>
          </w:p>
        </w:tc>
      </w:tr>
      <w:tr w14:paraId="2BCD39CF">
        <w:tblPrEx>
          <w:tblCellMar>
            <w:top w:w="0" w:type="dxa"/>
            <w:left w:w="108" w:type="dxa"/>
            <w:bottom w:w="0" w:type="dxa"/>
            <w:right w:w="108" w:type="dxa"/>
          </w:tblCellMar>
        </w:tblPrEx>
        <w:trPr>
          <w:trHeight w:val="282" w:hRule="atLeast"/>
        </w:trPr>
        <w:tc>
          <w:tcPr>
            <w:tcW w:w="0" w:type="auto"/>
            <w:vMerge w:val="continue"/>
            <w:tcBorders>
              <w:top w:val="nil"/>
              <w:left w:val="single" w:color="auto" w:sz="8" w:space="0"/>
              <w:bottom w:val="single" w:color="auto" w:sz="8" w:space="0"/>
              <w:right w:val="single" w:color="auto" w:sz="8" w:space="0"/>
            </w:tcBorders>
            <w:vAlign w:val="center"/>
          </w:tcPr>
          <w:p w14:paraId="2CB9FCEC">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7628BA5B">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13821FFC">
            <w:pPr>
              <w:widowControl/>
              <w:jc w:val="left"/>
              <w:rPr>
                <w:rFonts w:hint="eastAsia" w:ascii="宋体" w:hAnsi="宋体" w:cs="宋体"/>
                <w:kern w:val="0"/>
                <w:sz w:val="18"/>
                <w:szCs w:val="18"/>
              </w:rPr>
            </w:pPr>
          </w:p>
        </w:tc>
        <w:tc>
          <w:tcPr>
            <w:tcW w:w="0" w:type="auto"/>
            <w:vMerge w:val="continue"/>
            <w:tcBorders>
              <w:top w:val="nil"/>
              <w:left w:val="nil"/>
              <w:bottom w:val="single" w:color="auto" w:sz="8" w:space="0"/>
              <w:right w:val="single" w:color="auto" w:sz="8" w:space="0"/>
            </w:tcBorders>
            <w:vAlign w:val="center"/>
          </w:tcPr>
          <w:p w14:paraId="0211C1D2">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auto" w:sz="8" w:space="0"/>
              <w:right w:val="single" w:color="auto" w:sz="8" w:space="0"/>
            </w:tcBorders>
            <w:vAlign w:val="center"/>
          </w:tcPr>
          <w:p w14:paraId="7E453C66">
            <w:pPr>
              <w:widowControl/>
              <w:jc w:val="left"/>
              <w:rPr>
                <w:rFonts w:hint="eastAsia" w:ascii="宋体" w:hAnsi="宋体" w:cs="宋体"/>
                <w:color w:val="000000"/>
                <w:kern w:val="0"/>
                <w:sz w:val="18"/>
                <w:szCs w:val="18"/>
              </w:rPr>
            </w:pPr>
          </w:p>
        </w:tc>
        <w:tc>
          <w:tcPr>
            <w:tcW w:w="236" w:type="dxa"/>
            <w:noWrap/>
            <w:vAlign w:val="center"/>
          </w:tcPr>
          <w:p w14:paraId="412B0E37">
            <w:pPr>
              <w:widowControl/>
              <w:jc w:val="left"/>
              <w:rPr>
                <w:rFonts w:hint="eastAsia" w:ascii="宋体" w:hAnsi="宋体" w:cs="宋体"/>
                <w:kern w:val="0"/>
                <w:sz w:val="18"/>
                <w:szCs w:val="18"/>
              </w:rPr>
            </w:pPr>
          </w:p>
        </w:tc>
      </w:tr>
      <w:tr w14:paraId="3E55A8B3">
        <w:tblPrEx>
          <w:tblCellMar>
            <w:top w:w="0" w:type="dxa"/>
            <w:left w:w="108" w:type="dxa"/>
            <w:bottom w:w="0" w:type="dxa"/>
            <w:right w:w="108" w:type="dxa"/>
          </w:tblCellMar>
        </w:tblPrEx>
        <w:trPr>
          <w:trHeight w:val="288" w:hRule="atLeast"/>
        </w:trPr>
        <w:tc>
          <w:tcPr>
            <w:tcW w:w="0" w:type="auto"/>
            <w:vMerge w:val="continue"/>
            <w:tcBorders>
              <w:top w:val="nil"/>
              <w:left w:val="single" w:color="auto" w:sz="8" w:space="0"/>
              <w:bottom w:val="single" w:color="auto" w:sz="8" w:space="0"/>
              <w:right w:val="single" w:color="auto" w:sz="8" w:space="0"/>
            </w:tcBorders>
            <w:vAlign w:val="center"/>
          </w:tcPr>
          <w:p w14:paraId="7B2F8E44">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6A71BF43">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28C35139">
            <w:pPr>
              <w:widowControl/>
              <w:jc w:val="left"/>
              <w:rPr>
                <w:rFonts w:hint="eastAsia" w:ascii="宋体" w:hAnsi="宋体" w:cs="宋体"/>
                <w:kern w:val="0"/>
                <w:sz w:val="18"/>
                <w:szCs w:val="18"/>
              </w:rPr>
            </w:pPr>
          </w:p>
        </w:tc>
        <w:tc>
          <w:tcPr>
            <w:tcW w:w="0" w:type="auto"/>
            <w:vMerge w:val="continue"/>
            <w:tcBorders>
              <w:top w:val="nil"/>
              <w:left w:val="nil"/>
              <w:bottom w:val="single" w:color="auto" w:sz="8" w:space="0"/>
              <w:right w:val="single" w:color="auto" w:sz="8" w:space="0"/>
            </w:tcBorders>
            <w:vAlign w:val="center"/>
          </w:tcPr>
          <w:p w14:paraId="680FB00D">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auto" w:sz="8" w:space="0"/>
              <w:right w:val="single" w:color="auto" w:sz="8" w:space="0"/>
            </w:tcBorders>
            <w:vAlign w:val="center"/>
          </w:tcPr>
          <w:p w14:paraId="3CE1D357">
            <w:pPr>
              <w:widowControl/>
              <w:jc w:val="left"/>
              <w:rPr>
                <w:rFonts w:hint="eastAsia" w:ascii="宋体" w:hAnsi="宋体" w:cs="宋体"/>
                <w:color w:val="000000"/>
                <w:kern w:val="0"/>
                <w:sz w:val="18"/>
                <w:szCs w:val="18"/>
              </w:rPr>
            </w:pPr>
          </w:p>
        </w:tc>
        <w:tc>
          <w:tcPr>
            <w:tcW w:w="236" w:type="dxa"/>
            <w:noWrap/>
            <w:vAlign w:val="center"/>
          </w:tcPr>
          <w:p w14:paraId="3E758AAB">
            <w:pPr>
              <w:widowControl/>
              <w:jc w:val="left"/>
              <w:rPr>
                <w:rFonts w:hint="eastAsia" w:ascii="宋体" w:hAnsi="宋体" w:cs="宋体"/>
                <w:kern w:val="0"/>
                <w:sz w:val="18"/>
                <w:szCs w:val="18"/>
              </w:rPr>
            </w:pPr>
          </w:p>
        </w:tc>
      </w:tr>
      <w:tr w14:paraId="22208EE2">
        <w:tblPrEx>
          <w:tblCellMar>
            <w:top w:w="0" w:type="dxa"/>
            <w:left w:w="108" w:type="dxa"/>
            <w:bottom w:w="0" w:type="dxa"/>
            <w:right w:w="108" w:type="dxa"/>
          </w:tblCellMar>
        </w:tblPrEx>
        <w:trPr>
          <w:trHeight w:val="300" w:hRule="atLeast"/>
        </w:trPr>
        <w:tc>
          <w:tcPr>
            <w:tcW w:w="0" w:type="auto"/>
            <w:vMerge w:val="continue"/>
            <w:tcBorders>
              <w:top w:val="nil"/>
              <w:left w:val="single" w:color="auto" w:sz="8" w:space="0"/>
              <w:bottom w:val="single" w:color="auto" w:sz="8" w:space="0"/>
              <w:right w:val="single" w:color="auto" w:sz="8" w:space="0"/>
            </w:tcBorders>
            <w:vAlign w:val="center"/>
          </w:tcPr>
          <w:p w14:paraId="7735A80D">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607CF06F">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3420B9F3">
            <w:pPr>
              <w:widowControl/>
              <w:jc w:val="left"/>
              <w:rPr>
                <w:rFonts w:hint="eastAsia" w:ascii="宋体" w:hAnsi="宋体" w:cs="宋体"/>
                <w:kern w:val="0"/>
                <w:sz w:val="18"/>
                <w:szCs w:val="18"/>
              </w:rPr>
            </w:pPr>
          </w:p>
        </w:tc>
        <w:tc>
          <w:tcPr>
            <w:tcW w:w="0" w:type="auto"/>
            <w:vMerge w:val="continue"/>
            <w:tcBorders>
              <w:top w:val="nil"/>
              <w:left w:val="nil"/>
              <w:bottom w:val="single" w:color="auto" w:sz="8" w:space="0"/>
              <w:right w:val="single" w:color="auto" w:sz="8" w:space="0"/>
            </w:tcBorders>
            <w:vAlign w:val="center"/>
          </w:tcPr>
          <w:p w14:paraId="668A8122">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auto" w:sz="8" w:space="0"/>
              <w:right w:val="single" w:color="auto" w:sz="8" w:space="0"/>
            </w:tcBorders>
            <w:vAlign w:val="center"/>
          </w:tcPr>
          <w:p w14:paraId="6A88D7BB">
            <w:pPr>
              <w:widowControl/>
              <w:jc w:val="left"/>
              <w:rPr>
                <w:rFonts w:hint="eastAsia" w:ascii="宋体" w:hAnsi="宋体" w:cs="宋体"/>
                <w:color w:val="000000"/>
                <w:kern w:val="0"/>
                <w:sz w:val="18"/>
                <w:szCs w:val="18"/>
              </w:rPr>
            </w:pPr>
          </w:p>
        </w:tc>
        <w:tc>
          <w:tcPr>
            <w:tcW w:w="236" w:type="dxa"/>
            <w:noWrap/>
            <w:vAlign w:val="center"/>
          </w:tcPr>
          <w:p w14:paraId="1EC90DBB">
            <w:pPr>
              <w:widowControl/>
              <w:jc w:val="left"/>
              <w:rPr>
                <w:rFonts w:hint="eastAsia" w:ascii="宋体" w:hAnsi="宋体" w:cs="宋体"/>
                <w:kern w:val="0"/>
                <w:sz w:val="18"/>
                <w:szCs w:val="18"/>
              </w:rPr>
            </w:pPr>
          </w:p>
        </w:tc>
      </w:tr>
      <w:tr w14:paraId="08F30FB1">
        <w:tblPrEx>
          <w:tblCellMar>
            <w:top w:w="0" w:type="dxa"/>
            <w:left w:w="108" w:type="dxa"/>
            <w:bottom w:w="0" w:type="dxa"/>
            <w:right w:w="108" w:type="dxa"/>
          </w:tblCellMar>
        </w:tblPrEx>
        <w:trPr>
          <w:trHeight w:val="258" w:hRule="atLeast"/>
        </w:trPr>
        <w:tc>
          <w:tcPr>
            <w:tcW w:w="0" w:type="auto"/>
            <w:vMerge w:val="continue"/>
            <w:tcBorders>
              <w:top w:val="nil"/>
              <w:left w:val="single" w:color="auto" w:sz="8" w:space="0"/>
              <w:bottom w:val="single" w:color="auto" w:sz="8" w:space="0"/>
              <w:right w:val="single" w:color="auto" w:sz="8" w:space="0"/>
            </w:tcBorders>
            <w:vAlign w:val="center"/>
          </w:tcPr>
          <w:p w14:paraId="561646AC">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2FA214C5">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78038CB3">
            <w:pPr>
              <w:widowControl/>
              <w:jc w:val="left"/>
              <w:rPr>
                <w:rFonts w:hint="eastAsia" w:ascii="宋体" w:hAnsi="宋体" w:cs="宋体"/>
                <w:kern w:val="0"/>
                <w:sz w:val="18"/>
                <w:szCs w:val="18"/>
              </w:rPr>
            </w:pPr>
          </w:p>
        </w:tc>
        <w:tc>
          <w:tcPr>
            <w:tcW w:w="0" w:type="auto"/>
            <w:vMerge w:val="continue"/>
            <w:tcBorders>
              <w:top w:val="nil"/>
              <w:left w:val="nil"/>
              <w:bottom w:val="single" w:color="auto" w:sz="8" w:space="0"/>
              <w:right w:val="single" w:color="auto" w:sz="8" w:space="0"/>
            </w:tcBorders>
            <w:vAlign w:val="center"/>
          </w:tcPr>
          <w:p w14:paraId="3B39A5A4">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auto" w:sz="8" w:space="0"/>
              <w:right w:val="single" w:color="auto" w:sz="8" w:space="0"/>
            </w:tcBorders>
            <w:vAlign w:val="center"/>
          </w:tcPr>
          <w:p w14:paraId="2D944CBC">
            <w:pPr>
              <w:widowControl/>
              <w:jc w:val="left"/>
              <w:rPr>
                <w:rFonts w:hint="eastAsia" w:ascii="宋体" w:hAnsi="宋体" w:cs="宋体"/>
                <w:color w:val="000000"/>
                <w:kern w:val="0"/>
                <w:sz w:val="18"/>
                <w:szCs w:val="18"/>
              </w:rPr>
            </w:pPr>
          </w:p>
        </w:tc>
        <w:tc>
          <w:tcPr>
            <w:tcW w:w="236" w:type="dxa"/>
            <w:noWrap/>
            <w:vAlign w:val="center"/>
          </w:tcPr>
          <w:p w14:paraId="2D509F11">
            <w:pPr>
              <w:widowControl/>
              <w:jc w:val="left"/>
              <w:rPr>
                <w:rFonts w:hint="eastAsia" w:ascii="宋体" w:hAnsi="宋体" w:cs="宋体"/>
                <w:kern w:val="0"/>
                <w:sz w:val="18"/>
                <w:szCs w:val="18"/>
              </w:rPr>
            </w:pPr>
          </w:p>
        </w:tc>
      </w:tr>
      <w:tr w14:paraId="34C59E5F">
        <w:tblPrEx>
          <w:tblCellMar>
            <w:top w:w="0" w:type="dxa"/>
            <w:left w:w="108" w:type="dxa"/>
            <w:bottom w:w="0" w:type="dxa"/>
            <w:right w:w="108" w:type="dxa"/>
          </w:tblCellMar>
        </w:tblPrEx>
        <w:trPr>
          <w:trHeight w:val="180" w:hRule="atLeast"/>
        </w:trPr>
        <w:tc>
          <w:tcPr>
            <w:tcW w:w="0" w:type="auto"/>
            <w:vMerge w:val="continue"/>
            <w:tcBorders>
              <w:top w:val="nil"/>
              <w:left w:val="single" w:color="auto" w:sz="8" w:space="0"/>
              <w:bottom w:val="single" w:color="auto" w:sz="8" w:space="0"/>
              <w:right w:val="single" w:color="auto" w:sz="8" w:space="0"/>
            </w:tcBorders>
            <w:vAlign w:val="center"/>
          </w:tcPr>
          <w:p w14:paraId="6FADBBD6">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770BE5F8">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000000" w:sz="8" w:space="0"/>
              <w:right w:val="single" w:color="auto" w:sz="8" w:space="0"/>
            </w:tcBorders>
            <w:vAlign w:val="center"/>
          </w:tcPr>
          <w:p w14:paraId="1E824438">
            <w:pPr>
              <w:widowControl/>
              <w:jc w:val="left"/>
              <w:rPr>
                <w:rFonts w:hint="eastAsia" w:ascii="宋体" w:hAnsi="宋体" w:cs="宋体"/>
                <w:kern w:val="0"/>
                <w:sz w:val="18"/>
                <w:szCs w:val="18"/>
              </w:rPr>
            </w:pPr>
          </w:p>
        </w:tc>
        <w:tc>
          <w:tcPr>
            <w:tcW w:w="0" w:type="auto"/>
            <w:vMerge w:val="continue"/>
            <w:tcBorders>
              <w:top w:val="nil"/>
              <w:left w:val="nil"/>
              <w:bottom w:val="single" w:color="auto" w:sz="8" w:space="0"/>
              <w:right w:val="single" w:color="auto" w:sz="8" w:space="0"/>
            </w:tcBorders>
            <w:vAlign w:val="center"/>
          </w:tcPr>
          <w:p w14:paraId="067FEC31">
            <w:pPr>
              <w:widowControl/>
              <w:jc w:val="left"/>
              <w:rPr>
                <w:rFonts w:hint="eastAsia" w:ascii="宋体" w:hAnsi="宋体" w:cs="宋体"/>
                <w:color w:val="000000"/>
                <w:kern w:val="0"/>
                <w:sz w:val="18"/>
                <w:szCs w:val="18"/>
              </w:rPr>
            </w:pPr>
          </w:p>
        </w:tc>
        <w:tc>
          <w:tcPr>
            <w:tcW w:w="0" w:type="auto"/>
            <w:vMerge w:val="continue"/>
            <w:tcBorders>
              <w:top w:val="nil"/>
              <w:left w:val="nil"/>
              <w:bottom w:val="single" w:color="auto" w:sz="8" w:space="0"/>
              <w:right w:val="single" w:color="auto" w:sz="8" w:space="0"/>
            </w:tcBorders>
            <w:vAlign w:val="center"/>
          </w:tcPr>
          <w:p w14:paraId="7494D117">
            <w:pPr>
              <w:widowControl/>
              <w:jc w:val="left"/>
              <w:rPr>
                <w:rFonts w:hint="eastAsia" w:ascii="宋体" w:hAnsi="宋体" w:cs="宋体"/>
                <w:color w:val="000000"/>
                <w:kern w:val="0"/>
                <w:sz w:val="18"/>
                <w:szCs w:val="18"/>
              </w:rPr>
            </w:pPr>
          </w:p>
        </w:tc>
        <w:tc>
          <w:tcPr>
            <w:tcW w:w="236" w:type="dxa"/>
            <w:noWrap/>
            <w:vAlign w:val="center"/>
          </w:tcPr>
          <w:p w14:paraId="0C264F87">
            <w:pPr>
              <w:widowControl/>
              <w:jc w:val="left"/>
              <w:rPr>
                <w:rFonts w:hint="eastAsia" w:ascii="宋体" w:hAnsi="宋体" w:cs="宋体"/>
                <w:kern w:val="0"/>
                <w:sz w:val="18"/>
                <w:szCs w:val="18"/>
              </w:rPr>
            </w:pPr>
          </w:p>
        </w:tc>
      </w:tr>
      <w:tr w14:paraId="69EC198B">
        <w:tblPrEx>
          <w:tblCellMar>
            <w:top w:w="0" w:type="dxa"/>
            <w:left w:w="108" w:type="dxa"/>
            <w:bottom w:w="0" w:type="dxa"/>
            <w:right w:w="108" w:type="dxa"/>
          </w:tblCellMar>
        </w:tblPrEx>
        <w:trPr>
          <w:trHeight w:val="618" w:hRule="atLeast"/>
        </w:trPr>
        <w:tc>
          <w:tcPr>
            <w:tcW w:w="1112" w:type="dxa"/>
            <w:tcBorders>
              <w:top w:val="nil"/>
              <w:left w:val="single" w:color="auto" w:sz="8" w:space="0"/>
              <w:bottom w:val="single" w:color="auto" w:sz="8" w:space="0"/>
              <w:right w:val="single" w:color="auto" w:sz="8" w:space="0"/>
            </w:tcBorders>
            <w:vAlign w:val="center"/>
          </w:tcPr>
          <w:p w14:paraId="1C59826C">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系统培训</w:t>
            </w:r>
          </w:p>
        </w:tc>
        <w:tc>
          <w:tcPr>
            <w:tcW w:w="2242" w:type="dxa"/>
            <w:tcBorders>
              <w:top w:val="nil"/>
              <w:left w:val="nil"/>
              <w:bottom w:val="single" w:color="auto" w:sz="8" w:space="0"/>
              <w:right w:val="single" w:color="auto" w:sz="8" w:space="0"/>
            </w:tcBorders>
            <w:vAlign w:val="center"/>
          </w:tcPr>
          <w:p w14:paraId="30ED2FE5">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对于系统操作使用方面的培训需要，可以组织线上和线下的方式进行系统培训</w:t>
            </w:r>
          </w:p>
        </w:tc>
        <w:tc>
          <w:tcPr>
            <w:tcW w:w="1678" w:type="dxa"/>
            <w:tcBorders>
              <w:top w:val="nil"/>
              <w:left w:val="nil"/>
              <w:bottom w:val="single" w:color="auto" w:sz="8" w:space="0"/>
              <w:right w:val="single" w:color="auto" w:sz="8" w:space="0"/>
            </w:tcBorders>
            <w:vAlign w:val="center"/>
          </w:tcPr>
          <w:p w14:paraId="165322AF">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0E6659C9">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1867" w:type="dxa"/>
            <w:tcBorders>
              <w:top w:val="nil"/>
              <w:left w:val="nil"/>
              <w:bottom w:val="single" w:color="auto" w:sz="8" w:space="0"/>
              <w:right w:val="single" w:color="auto" w:sz="8" w:space="0"/>
            </w:tcBorders>
            <w:vAlign w:val="center"/>
          </w:tcPr>
          <w:p w14:paraId="078F2F11">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236" w:type="dxa"/>
            <w:vAlign w:val="center"/>
          </w:tcPr>
          <w:p w14:paraId="1B0D57C0">
            <w:pPr>
              <w:widowControl/>
              <w:jc w:val="left"/>
              <w:rPr>
                <w:rFonts w:hint="eastAsia" w:ascii="宋体" w:hAnsi="宋体" w:cs="宋体"/>
                <w:kern w:val="0"/>
                <w:sz w:val="18"/>
                <w:szCs w:val="18"/>
              </w:rPr>
            </w:pPr>
          </w:p>
        </w:tc>
      </w:tr>
      <w:tr w14:paraId="1CE4BD2C">
        <w:tblPrEx>
          <w:tblCellMar>
            <w:top w:w="0" w:type="dxa"/>
            <w:left w:w="108" w:type="dxa"/>
            <w:bottom w:w="0" w:type="dxa"/>
            <w:right w:w="108" w:type="dxa"/>
          </w:tblCellMar>
        </w:tblPrEx>
        <w:trPr>
          <w:trHeight w:val="882" w:hRule="atLeast"/>
        </w:trPr>
        <w:tc>
          <w:tcPr>
            <w:tcW w:w="1112" w:type="dxa"/>
            <w:tcBorders>
              <w:top w:val="nil"/>
              <w:left w:val="single" w:color="auto" w:sz="8" w:space="0"/>
              <w:bottom w:val="single" w:color="auto" w:sz="8" w:space="0"/>
              <w:right w:val="single" w:color="auto" w:sz="8" w:space="0"/>
            </w:tcBorders>
            <w:vAlign w:val="center"/>
          </w:tcPr>
          <w:p w14:paraId="219CDD90">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客户需求和建议支持</w:t>
            </w:r>
          </w:p>
        </w:tc>
        <w:tc>
          <w:tcPr>
            <w:tcW w:w="2242" w:type="dxa"/>
            <w:tcBorders>
              <w:top w:val="nil"/>
              <w:left w:val="nil"/>
              <w:bottom w:val="single" w:color="auto" w:sz="8" w:space="0"/>
              <w:right w:val="single" w:color="auto" w:sz="8" w:space="0"/>
            </w:tcBorders>
            <w:vAlign w:val="center"/>
          </w:tcPr>
          <w:p w14:paraId="19EC9EA7">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可向供应商技术人员提供自己的需求和系统的改进建议，技术人员进行评估后，根据具体情况积极回应采购人需求和建议</w:t>
            </w:r>
          </w:p>
        </w:tc>
        <w:tc>
          <w:tcPr>
            <w:tcW w:w="1678" w:type="dxa"/>
            <w:tcBorders>
              <w:top w:val="nil"/>
              <w:left w:val="nil"/>
              <w:bottom w:val="single" w:color="auto" w:sz="8" w:space="0"/>
              <w:right w:val="single" w:color="auto" w:sz="8" w:space="0"/>
            </w:tcBorders>
            <w:vAlign w:val="center"/>
          </w:tcPr>
          <w:p w14:paraId="258F2F22">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010FE341">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1867" w:type="dxa"/>
            <w:tcBorders>
              <w:top w:val="nil"/>
              <w:left w:val="nil"/>
              <w:bottom w:val="single" w:color="auto" w:sz="8" w:space="0"/>
              <w:right w:val="single" w:color="auto" w:sz="8" w:space="0"/>
            </w:tcBorders>
            <w:vAlign w:val="center"/>
          </w:tcPr>
          <w:p w14:paraId="598DD50E">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236" w:type="dxa"/>
            <w:vAlign w:val="center"/>
          </w:tcPr>
          <w:p w14:paraId="31336CE1">
            <w:pPr>
              <w:widowControl/>
              <w:jc w:val="left"/>
              <w:rPr>
                <w:rFonts w:hint="eastAsia" w:ascii="宋体" w:hAnsi="宋体" w:cs="宋体"/>
                <w:kern w:val="0"/>
                <w:sz w:val="18"/>
                <w:szCs w:val="18"/>
              </w:rPr>
            </w:pPr>
          </w:p>
        </w:tc>
      </w:tr>
      <w:tr w14:paraId="1BBFA843">
        <w:tblPrEx>
          <w:tblCellMar>
            <w:top w:w="0" w:type="dxa"/>
            <w:left w:w="108" w:type="dxa"/>
            <w:bottom w:w="0" w:type="dxa"/>
            <w:right w:w="108" w:type="dxa"/>
          </w:tblCellMar>
        </w:tblPrEx>
        <w:trPr>
          <w:trHeight w:val="1140" w:hRule="atLeast"/>
        </w:trPr>
        <w:tc>
          <w:tcPr>
            <w:tcW w:w="1112" w:type="dxa"/>
            <w:tcBorders>
              <w:top w:val="nil"/>
              <w:left w:val="single" w:color="auto" w:sz="8" w:space="0"/>
              <w:bottom w:val="single" w:color="auto" w:sz="8" w:space="0"/>
              <w:right w:val="single" w:color="auto" w:sz="8" w:space="0"/>
            </w:tcBorders>
            <w:vAlign w:val="center"/>
          </w:tcPr>
          <w:p w14:paraId="0E39F4C3">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与第三方接口的维护</w:t>
            </w:r>
          </w:p>
        </w:tc>
        <w:tc>
          <w:tcPr>
            <w:tcW w:w="2242" w:type="dxa"/>
            <w:tcBorders>
              <w:top w:val="nil"/>
              <w:left w:val="nil"/>
              <w:bottom w:val="single" w:color="auto" w:sz="8" w:space="0"/>
              <w:right w:val="single" w:color="auto" w:sz="8" w:space="0"/>
            </w:tcBorders>
            <w:vAlign w:val="center"/>
          </w:tcPr>
          <w:p w14:paraId="606FA405">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系统为第三方厂家开发的接口出现接口问题、问题解答、信息咨询等非开发类问题时，供应商技术人员做出及时的响应和处理</w:t>
            </w:r>
          </w:p>
        </w:tc>
        <w:tc>
          <w:tcPr>
            <w:tcW w:w="1678" w:type="dxa"/>
            <w:tcBorders>
              <w:top w:val="nil"/>
              <w:left w:val="nil"/>
              <w:bottom w:val="single" w:color="auto" w:sz="8" w:space="0"/>
              <w:right w:val="single" w:color="auto" w:sz="8" w:space="0"/>
            </w:tcBorders>
            <w:vAlign w:val="center"/>
          </w:tcPr>
          <w:p w14:paraId="35F44316">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76BE72B6">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1867" w:type="dxa"/>
            <w:tcBorders>
              <w:top w:val="nil"/>
              <w:left w:val="nil"/>
              <w:bottom w:val="single" w:color="auto" w:sz="8" w:space="0"/>
              <w:right w:val="single" w:color="auto" w:sz="8" w:space="0"/>
            </w:tcBorders>
            <w:vAlign w:val="center"/>
          </w:tcPr>
          <w:p w14:paraId="0343BA84">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236" w:type="dxa"/>
            <w:vAlign w:val="center"/>
          </w:tcPr>
          <w:p w14:paraId="5856F9F2">
            <w:pPr>
              <w:widowControl/>
              <w:jc w:val="left"/>
              <w:rPr>
                <w:rFonts w:hint="eastAsia" w:ascii="宋体" w:hAnsi="宋体" w:cs="宋体"/>
                <w:kern w:val="0"/>
                <w:sz w:val="18"/>
                <w:szCs w:val="18"/>
              </w:rPr>
            </w:pPr>
          </w:p>
        </w:tc>
      </w:tr>
      <w:tr w14:paraId="3DC51CE2">
        <w:tblPrEx>
          <w:tblCellMar>
            <w:top w:w="0" w:type="dxa"/>
            <w:left w:w="108" w:type="dxa"/>
            <w:bottom w:w="0" w:type="dxa"/>
            <w:right w:w="108" w:type="dxa"/>
          </w:tblCellMar>
        </w:tblPrEx>
        <w:trPr>
          <w:trHeight w:val="1140" w:hRule="atLeast"/>
        </w:trPr>
        <w:tc>
          <w:tcPr>
            <w:tcW w:w="1112" w:type="dxa"/>
            <w:tcBorders>
              <w:top w:val="nil"/>
              <w:left w:val="single" w:color="auto" w:sz="8" w:space="0"/>
              <w:bottom w:val="single" w:color="auto" w:sz="8" w:space="0"/>
              <w:right w:val="single" w:color="auto" w:sz="8" w:space="0"/>
            </w:tcBorders>
            <w:vAlign w:val="center"/>
          </w:tcPr>
          <w:p w14:paraId="22A6D9AC">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数据备份</w:t>
            </w:r>
          </w:p>
        </w:tc>
        <w:tc>
          <w:tcPr>
            <w:tcW w:w="2242" w:type="dxa"/>
            <w:tcBorders>
              <w:top w:val="nil"/>
              <w:left w:val="nil"/>
              <w:bottom w:val="single" w:color="auto" w:sz="8" w:space="0"/>
              <w:right w:val="single" w:color="auto" w:sz="8" w:space="0"/>
            </w:tcBorders>
            <w:vAlign w:val="center"/>
          </w:tcPr>
          <w:p w14:paraId="75F97253">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每日定期对GIS系统进行数据备份，每周进行地图切片服务更新</w:t>
            </w:r>
          </w:p>
        </w:tc>
        <w:tc>
          <w:tcPr>
            <w:tcW w:w="1678" w:type="dxa"/>
            <w:tcBorders>
              <w:top w:val="nil"/>
              <w:left w:val="nil"/>
              <w:bottom w:val="single" w:color="auto" w:sz="8" w:space="0"/>
              <w:right w:val="single" w:color="auto" w:sz="8" w:space="0"/>
            </w:tcBorders>
            <w:vAlign w:val="center"/>
          </w:tcPr>
          <w:p w14:paraId="7DA3C7FE">
            <w:pPr>
              <w:widowControl/>
              <w:jc w:val="center"/>
              <w:rPr>
                <w:rFonts w:hint="eastAsia" w:ascii="宋体" w:hAnsi="宋体" w:cs="宋体"/>
                <w:color w:val="000000"/>
                <w:kern w:val="0"/>
                <w:sz w:val="18"/>
                <w:szCs w:val="18"/>
              </w:rPr>
            </w:pPr>
            <w:r>
              <w:rPr>
                <w:rFonts w:hint="eastAsia" w:ascii="宋体" w:hAnsi="宋体" w:cs="宋体"/>
                <w:kern w:val="0"/>
                <w:sz w:val="18"/>
                <w:szCs w:val="18"/>
              </w:rPr>
              <w:t>不限</w:t>
            </w:r>
          </w:p>
        </w:tc>
        <w:tc>
          <w:tcPr>
            <w:tcW w:w="1455" w:type="dxa"/>
            <w:tcBorders>
              <w:top w:val="nil"/>
              <w:left w:val="nil"/>
              <w:bottom w:val="single" w:color="auto" w:sz="8" w:space="0"/>
              <w:right w:val="single" w:color="auto" w:sz="8" w:space="0"/>
            </w:tcBorders>
            <w:vAlign w:val="center"/>
          </w:tcPr>
          <w:p w14:paraId="0F3C6692">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1867" w:type="dxa"/>
            <w:tcBorders>
              <w:top w:val="nil"/>
              <w:left w:val="nil"/>
              <w:bottom w:val="single" w:color="auto" w:sz="8" w:space="0"/>
              <w:right w:val="single" w:color="auto" w:sz="8" w:space="0"/>
            </w:tcBorders>
            <w:vAlign w:val="center"/>
          </w:tcPr>
          <w:p w14:paraId="1B3795EE">
            <w:pPr>
              <w:widowControl/>
              <w:jc w:val="center"/>
              <w:rPr>
                <w:rFonts w:hint="eastAsia" w:ascii="宋体" w:hAnsi="宋体" w:cs="宋体"/>
                <w:color w:val="000000"/>
                <w:kern w:val="0"/>
                <w:sz w:val="18"/>
                <w:szCs w:val="18"/>
              </w:rPr>
            </w:pPr>
            <w:r>
              <w:rPr>
                <w:rFonts w:hint="eastAsia" w:ascii="宋体" w:hAnsi="宋体" w:cs="宋体"/>
                <w:bCs/>
                <w:iCs/>
                <w:color w:val="000000"/>
                <w:sz w:val="18"/>
                <w:szCs w:val="18"/>
              </w:rPr>
              <w:t>/</w:t>
            </w:r>
          </w:p>
        </w:tc>
        <w:tc>
          <w:tcPr>
            <w:tcW w:w="236" w:type="dxa"/>
            <w:vAlign w:val="center"/>
          </w:tcPr>
          <w:p w14:paraId="3E7F895A">
            <w:pPr>
              <w:widowControl/>
              <w:jc w:val="left"/>
              <w:rPr>
                <w:rFonts w:hint="eastAsia" w:ascii="宋体" w:hAnsi="宋体" w:cs="宋体"/>
                <w:kern w:val="0"/>
                <w:sz w:val="18"/>
                <w:szCs w:val="18"/>
              </w:rPr>
            </w:pPr>
          </w:p>
        </w:tc>
      </w:tr>
      <w:tr w14:paraId="3B34DF43">
        <w:tblPrEx>
          <w:tblCellMar>
            <w:top w:w="0" w:type="dxa"/>
            <w:left w:w="108" w:type="dxa"/>
            <w:bottom w:w="0" w:type="dxa"/>
            <w:right w:w="108" w:type="dxa"/>
          </w:tblCellMar>
        </w:tblPrEx>
        <w:trPr>
          <w:trHeight w:val="1182" w:hRule="atLeast"/>
        </w:trPr>
        <w:tc>
          <w:tcPr>
            <w:tcW w:w="1112" w:type="dxa"/>
            <w:tcBorders>
              <w:top w:val="nil"/>
              <w:left w:val="single" w:color="auto" w:sz="8" w:space="0"/>
              <w:bottom w:val="single" w:color="auto" w:sz="8" w:space="0"/>
              <w:right w:val="single" w:color="auto" w:sz="8" w:space="0"/>
            </w:tcBorders>
            <w:vAlign w:val="center"/>
          </w:tcPr>
          <w:p w14:paraId="4DF1E61D">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技术支持服务</w:t>
            </w:r>
          </w:p>
        </w:tc>
        <w:tc>
          <w:tcPr>
            <w:tcW w:w="2242" w:type="dxa"/>
            <w:tcBorders>
              <w:top w:val="nil"/>
              <w:left w:val="nil"/>
              <w:bottom w:val="single" w:color="auto" w:sz="8" w:space="0"/>
              <w:right w:val="single" w:color="auto" w:sz="8" w:space="0"/>
            </w:tcBorders>
            <w:vAlign w:val="center"/>
          </w:tcPr>
          <w:p w14:paraId="5415C279">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采购人在系统使用过程中出现的一些例如查询表结构、查询某数据、调整系统内的一些数据、采购人开发需要的一些其他协助等非开发式的请求，可由供应商的技术人员协助完成</w:t>
            </w:r>
          </w:p>
        </w:tc>
        <w:tc>
          <w:tcPr>
            <w:tcW w:w="1678" w:type="dxa"/>
            <w:tcBorders>
              <w:top w:val="nil"/>
              <w:left w:val="nil"/>
              <w:bottom w:val="single" w:color="auto" w:sz="8" w:space="0"/>
              <w:right w:val="single" w:color="auto" w:sz="8" w:space="0"/>
            </w:tcBorders>
            <w:vAlign w:val="center"/>
          </w:tcPr>
          <w:p w14:paraId="61D270ED">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61430D30">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1867" w:type="dxa"/>
            <w:tcBorders>
              <w:top w:val="nil"/>
              <w:left w:val="nil"/>
              <w:bottom w:val="single" w:color="auto" w:sz="8" w:space="0"/>
              <w:right w:val="single" w:color="auto" w:sz="8" w:space="0"/>
            </w:tcBorders>
            <w:vAlign w:val="center"/>
          </w:tcPr>
          <w:p w14:paraId="645DC327">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236" w:type="dxa"/>
            <w:vAlign w:val="center"/>
          </w:tcPr>
          <w:p w14:paraId="7C148B67">
            <w:pPr>
              <w:widowControl/>
              <w:jc w:val="left"/>
              <w:rPr>
                <w:rFonts w:hint="eastAsia" w:ascii="宋体" w:hAnsi="宋体" w:cs="宋体"/>
                <w:kern w:val="0"/>
                <w:sz w:val="18"/>
                <w:szCs w:val="18"/>
              </w:rPr>
            </w:pPr>
          </w:p>
        </w:tc>
      </w:tr>
      <w:tr w14:paraId="2E79D987">
        <w:tblPrEx>
          <w:tblCellMar>
            <w:top w:w="0" w:type="dxa"/>
            <w:left w:w="108" w:type="dxa"/>
            <w:bottom w:w="0" w:type="dxa"/>
            <w:right w:w="108" w:type="dxa"/>
          </w:tblCellMar>
        </w:tblPrEx>
        <w:trPr>
          <w:trHeight w:val="882" w:hRule="atLeast"/>
        </w:trPr>
        <w:tc>
          <w:tcPr>
            <w:tcW w:w="1112" w:type="dxa"/>
            <w:tcBorders>
              <w:top w:val="nil"/>
              <w:left w:val="single" w:color="auto" w:sz="8" w:space="0"/>
              <w:bottom w:val="single" w:color="auto" w:sz="8" w:space="0"/>
              <w:right w:val="single" w:color="auto" w:sz="8" w:space="0"/>
            </w:tcBorders>
            <w:vAlign w:val="center"/>
          </w:tcPr>
          <w:p w14:paraId="7665D618">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系统升级和维护</w:t>
            </w:r>
          </w:p>
        </w:tc>
        <w:tc>
          <w:tcPr>
            <w:tcW w:w="2242" w:type="dxa"/>
            <w:tcBorders>
              <w:top w:val="nil"/>
              <w:left w:val="nil"/>
              <w:bottom w:val="single" w:color="auto" w:sz="8" w:space="0"/>
              <w:right w:val="single" w:color="auto" w:sz="8" w:space="0"/>
            </w:tcBorders>
            <w:vAlign w:val="center"/>
          </w:tcPr>
          <w:p w14:paraId="321FB712">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根据系统安全检查出来的系统漏洞、操作系统漏洞，对系统进行维护和升级，配合达到安全防控要求。GIS系统定期巡检和维护，保证系统的正常运行</w:t>
            </w:r>
          </w:p>
        </w:tc>
        <w:tc>
          <w:tcPr>
            <w:tcW w:w="1678" w:type="dxa"/>
            <w:tcBorders>
              <w:top w:val="nil"/>
              <w:left w:val="nil"/>
              <w:bottom w:val="single" w:color="auto" w:sz="8" w:space="0"/>
              <w:right w:val="single" w:color="auto" w:sz="8" w:space="0"/>
            </w:tcBorders>
            <w:vAlign w:val="center"/>
          </w:tcPr>
          <w:p w14:paraId="05BF0103">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不限</w:t>
            </w:r>
          </w:p>
        </w:tc>
        <w:tc>
          <w:tcPr>
            <w:tcW w:w="1455" w:type="dxa"/>
            <w:tcBorders>
              <w:top w:val="nil"/>
              <w:left w:val="nil"/>
              <w:bottom w:val="single" w:color="auto" w:sz="8" w:space="0"/>
              <w:right w:val="single" w:color="auto" w:sz="8" w:space="0"/>
            </w:tcBorders>
            <w:vAlign w:val="center"/>
          </w:tcPr>
          <w:p w14:paraId="0B9690E8">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1867" w:type="dxa"/>
            <w:tcBorders>
              <w:top w:val="nil"/>
              <w:left w:val="nil"/>
              <w:bottom w:val="single" w:color="auto" w:sz="8" w:space="0"/>
              <w:right w:val="single" w:color="auto" w:sz="8" w:space="0"/>
            </w:tcBorders>
            <w:vAlign w:val="center"/>
          </w:tcPr>
          <w:p w14:paraId="2A41CC54">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w:t>
            </w:r>
          </w:p>
        </w:tc>
        <w:tc>
          <w:tcPr>
            <w:tcW w:w="236" w:type="dxa"/>
            <w:vAlign w:val="center"/>
          </w:tcPr>
          <w:p w14:paraId="39488743">
            <w:pPr>
              <w:widowControl/>
              <w:jc w:val="left"/>
              <w:rPr>
                <w:rFonts w:hint="eastAsia" w:ascii="宋体" w:hAnsi="宋体" w:cs="宋体"/>
                <w:kern w:val="0"/>
                <w:sz w:val="18"/>
                <w:szCs w:val="18"/>
              </w:rPr>
            </w:pPr>
          </w:p>
        </w:tc>
      </w:tr>
    </w:tbl>
    <w:p w14:paraId="46DD062D">
      <w:pPr>
        <w:pStyle w:val="2"/>
        <w:ind w:left="480" w:firstLine="480"/>
      </w:pPr>
    </w:p>
    <w:p w14:paraId="331E19DA">
      <w:pPr>
        <w:spacing w:line="600" w:lineRule="auto"/>
        <w:jc w:val="left"/>
        <w:rPr>
          <w:rFonts w:hint="eastAsia" w:ascii="宋体" w:hAnsi="宋体"/>
          <w:b/>
        </w:rPr>
      </w:pPr>
      <w:r>
        <w:rPr>
          <w:rFonts w:hint="eastAsia" w:ascii="宋体" w:hAnsi="宋体"/>
          <w:b/>
        </w:rPr>
        <w:t>（2）故障分级机制</w:t>
      </w:r>
    </w:p>
    <w:p w14:paraId="1E5DB338">
      <w:pPr>
        <w:spacing w:line="360" w:lineRule="auto"/>
        <w:ind w:firstLine="480" w:firstLineChars="200"/>
        <w:jc w:val="left"/>
        <w:rPr>
          <w:rFonts w:hint="eastAsia" w:ascii="宋体" w:hAnsi="宋体"/>
          <w:bCs/>
        </w:rPr>
      </w:pPr>
      <w:r>
        <w:rPr>
          <w:rFonts w:hint="eastAsia" w:ascii="宋体" w:hAnsi="宋体"/>
          <w:bCs/>
        </w:rPr>
        <w:t>紧急故障:宕机，系统无法启动；系统运行异常，大部分用户使用异常。</w:t>
      </w:r>
    </w:p>
    <w:p w14:paraId="0BB13BBF">
      <w:pPr>
        <w:spacing w:line="360" w:lineRule="auto"/>
        <w:ind w:firstLine="480" w:firstLineChars="200"/>
        <w:jc w:val="left"/>
        <w:rPr>
          <w:rFonts w:hint="eastAsia" w:ascii="宋体" w:hAnsi="宋体"/>
          <w:bCs/>
        </w:rPr>
      </w:pPr>
      <w:r>
        <w:rPr>
          <w:rFonts w:hint="eastAsia" w:ascii="宋体" w:hAnsi="宋体"/>
          <w:bCs/>
        </w:rPr>
        <w:t>一般故障:系统运行正常，部分用户出现偶然性错误；系统使用问题咨询。</w:t>
      </w:r>
    </w:p>
    <w:p w14:paraId="11711A40">
      <w:pPr>
        <w:spacing w:line="600" w:lineRule="auto"/>
        <w:jc w:val="left"/>
        <w:rPr>
          <w:rFonts w:hint="eastAsia" w:ascii="宋体" w:hAnsi="宋体"/>
          <w:b/>
        </w:rPr>
      </w:pPr>
      <w:r>
        <w:rPr>
          <w:rFonts w:hint="eastAsia" w:ascii="宋体" w:hAnsi="宋体"/>
          <w:b/>
        </w:rPr>
        <w:t>（3）响应时间</w:t>
      </w:r>
    </w:p>
    <w:tbl>
      <w:tblPr>
        <w:tblStyle w:val="7"/>
        <w:tblW w:w="8897" w:type="dxa"/>
        <w:tblInd w:w="0" w:type="dxa"/>
        <w:tblLayout w:type="autofit"/>
        <w:tblCellMar>
          <w:top w:w="0" w:type="dxa"/>
          <w:left w:w="108" w:type="dxa"/>
          <w:bottom w:w="0" w:type="dxa"/>
          <w:right w:w="108" w:type="dxa"/>
        </w:tblCellMar>
      </w:tblPr>
      <w:tblGrid>
        <w:gridCol w:w="1389"/>
        <w:gridCol w:w="1129"/>
        <w:gridCol w:w="2693"/>
        <w:gridCol w:w="1134"/>
        <w:gridCol w:w="2552"/>
      </w:tblGrid>
      <w:tr w14:paraId="7F0BEB60">
        <w:tblPrEx>
          <w:tblCellMar>
            <w:top w:w="0" w:type="dxa"/>
            <w:left w:w="108" w:type="dxa"/>
            <w:bottom w:w="0" w:type="dxa"/>
            <w:right w:w="108" w:type="dxa"/>
          </w:tblCellMar>
        </w:tblPrEx>
        <w:trPr>
          <w:trHeight w:val="318" w:hRule="atLeast"/>
        </w:trPr>
        <w:tc>
          <w:tcPr>
            <w:tcW w:w="0" w:type="auto"/>
            <w:vMerge w:val="restart"/>
            <w:tcBorders>
              <w:top w:val="single" w:color="auto" w:sz="8" w:space="0"/>
              <w:left w:val="single" w:color="auto" w:sz="8" w:space="0"/>
              <w:right w:val="single" w:color="auto" w:sz="8" w:space="0"/>
            </w:tcBorders>
            <w:shd w:val="clear" w:color="auto" w:fill="B8CCE4"/>
            <w:vAlign w:val="center"/>
          </w:tcPr>
          <w:p w14:paraId="1EB701B3">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故障级别</w:t>
            </w:r>
          </w:p>
        </w:tc>
        <w:tc>
          <w:tcPr>
            <w:tcW w:w="3822" w:type="dxa"/>
            <w:gridSpan w:val="2"/>
            <w:tcBorders>
              <w:top w:val="single" w:color="auto" w:sz="8" w:space="0"/>
              <w:left w:val="nil"/>
              <w:bottom w:val="single" w:color="auto" w:sz="8" w:space="0"/>
              <w:right w:val="single" w:color="auto" w:sz="8" w:space="0"/>
            </w:tcBorders>
            <w:shd w:val="clear" w:color="auto" w:fill="B8CCE4"/>
            <w:vAlign w:val="center"/>
          </w:tcPr>
          <w:p w14:paraId="6DC8E992">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工作日</w:t>
            </w:r>
          </w:p>
        </w:tc>
        <w:tc>
          <w:tcPr>
            <w:tcW w:w="3686" w:type="dxa"/>
            <w:gridSpan w:val="2"/>
            <w:tcBorders>
              <w:top w:val="single" w:color="auto" w:sz="8" w:space="0"/>
              <w:left w:val="nil"/>
              <w:bottom w:val="single" w:color="auto" w:sz="8" w:space="0"/>
              <w:right w:val="single" w:color="auto" w:sz="8" w:space="0"/>
            </w:tcBorders>
            <w:shd w:val="clear" w:color="auto" w:fill="B8CCE4"/>
            <w:vAlign w:val="center"/>
          </w:tcPr>
          <w:p w14:paraId="4FB5730F">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非工作日</w:t>
            </w:r>
          </w:p>
        </w:tc>
      </w:tr>
      <w:tr w14:paraId="6DEAD511">
        <w:tblPrEx>
          <w:tblCellMar>
            <w:top w:w="0" w:type="dxa"/>
            <w:left w:w="108" w:type="dxa"/>
            <w:bottom w:w="0" w:type="dxa"/>
            <w:right w:w="108" w:type="dxa"/>
          </w:tblCellMar>
        </w:tblPrEx>
        <w:trPr>
          <w:trHeight w:val="288" w:hRule="atLeast"/>
        </w:trPr>
        <w:tc>
          <w:tcPr>
            <w:tcW w:w="0" w:type="auto"/>
            <w:vMerge w:val="continue"/>
            <w:tcBorders>
              <w:left w:val="single" w:color="auto" w:sz="8" w:space="0"/>
              <w:bottom w:val="single" w:color="auto" w:sz="8" w:space="0"/>
              <w:right w:val="single" w:color="auto" w:sz="8" w:space="0"/>
            </w:tcBorders>
            <w:shd w:val="clear" w:color="auto" w:fill="DCE6F1"/>
            <w:vAlign w:val="center"/>
          </w:tcPr>
          <w:p w14:paraId="0751B56B">
            <w:pPr>
              <w:widowControl/>
              <w:jc w:val="center"/>
              <w:rPr>
                <w:rFonts w:hint="eastAsia" w:ascii="黑体" w:hAnsi="黑体" w:eastAsia="黑体" w:cs="宋体"/>
                <w:b/>
                <w:bCs/>
                <w:color w:val="000000"/>
                <w:kern w:val="0"/>
                <w:szCs w:val="24"/>
              </w:rPr>
            </w:pPr>
          </w:p>
        </w:tc>
        <w:tc>
          <w:tcPr>
            <w:tcW w:w="1129" w:type="dxa"/>
            <w:tcBorders>
              <w:top w:val="nil"/>
              <w:left w:val="nil"/>
              <w:bottom w:val="single" w:color="auto" w:sz="8" w:space="0"/>
              <w:right w:val="single" w:color="auto" w:sz="8" w:space="0"/>
            </w:tcBorders>
            <w:shd w:val="clear" w:color="auto" w:fill="DCE6F1"/>
            <w:vAlign w:val="center"/>
          </w:tcPr>
          <w:p w14:paraId="64A980F1">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远程</w:t>
            </w:r>
          </w:p>
        </w:tc>
        <w:tc>
          <w:tcPr>
            <w:tcW w:w="2693" w:type="dxa"/>
            <w:tcBorders>
              <w:top w:val="nil"/>
              <w:left w:val="nil"/>
              <w:bottom w:val="single" w:color="auto" w:sz="8" w:space="0"/>
              <w:right w:val="single" w:color="auto" w:sz="8" w:space="0"/>
            </w:tcBorders>
            <w:shd w:val="clear" w:color="auto" w:fill="DCE6F1"/>
            <w:vAlign w:val="center"/>
          </w:tcPr>
          <w:p w14:paraId="55C48ACC">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现场</w:t>
            </w:r>
          </w:p>
        </w:tc>
        <w:tc>
          <w:tcPr>
            <w:tcW w:w="1134" w:type="dxa"/>
            <w:tcBorders>
              <w:top w:val="nil"/>
              <w:left w:val="nil"/>
              <w:bottom w:val="single" w:color="auto" w:sz="8" w:space="0"/>
              <w:right w:val="single" w:color="auto" w:sz="8" w:space="0"/>
            </w:tcBorders>
            <w:shd w:val="clear" w:color="auto" w:fill="DCE6F1"/>
            <w:vAlign w:val="center"/>
          </w:tcPr>
          <w:p w14:paraId="700D8781">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远程</w:t>
            </w:r>
          </w:p>
        </w:tc>
        <w:tc>
          <w:tcPr>
            <w:tcW w:w="2552" w:type="dxa"/>
            <w:tcBorders>
              <w:top w:val="nil"/>
              <w:left w:val="nil"/>
              <w:bottom w:val="single" w:color="auto" w:sz="8" w:space="0"/>
              <w:right w:val="single" w:color="auto" w:sz="8" w:space="0"/>
            </w:tcBorders>
            <w:shd w:val="clear" w:color="auto" w:fill="DCE6F1"/>
            <w:vAlign w:val="center"/>
          </w:tcPr>
          <w:p w14:paraId="52144012">
            <w:pPr>
              <w:widowControl/>
              <w:jc w:val="center"/>
              <w:rPr>
                <w:rFonts w:hint="eastAsia" w:ascii="黑体" w:hAnsi="黑体" w:eastAsia="黑体" w:cs="宋体"/>
                <w:b/>
                <w:bCs/>
                <w:color w:val="000000"/>
                <w:kern w:val="0"/>
                <w:szCs w:val="24"/>
              </w:rPr>
            </w:pPr>
            <w:r>
              <w:rPr>
                <w:rFonts w:hint="eastAsia" w:ascii="黑体" w:hAnsi="黑体" w:eastAsia="黑体" w:cs="宋体"/>
                <w:b/>
                <w:bCs/>
                <w:color w:val="000000"/>
                <w:kern w:val="0"/>
                <w:szCs w:val="24"/>
              </w:rPr>
              <w:t>现场</w:t>
            </w:r>
          </w:p>
        </w:tc>
      </w:tr>
      <w:tr w14:paraId="7ADD8E5F">
        <w:tblPrEx>
          <w:tblCellMar>
            <w:top w:w="0" w:type="dxa"/>
            <w:left w:w="108" w:type="dxa"/>
            <w:bottom w:w="0" w:type="dxa"/>
            <w:right w:w="108" w:type="dxa"/>
          </w:tblCellMar>
        </w:tblPrEx>
        <w:trPr>
          <w:trHeight w:val="318" w:hRule="atLeast"/>
        </w:trPr>
        <w:tc>
          <w:tcPr>
            <w:tcW w:w="0" w:type="auto"/>
            <w:tcBorders>
              <w:top w:val="nil"/>
              <w:left w:val="single" w:color="auto" w:sz="8" w:space="0"/>
              <w:bottom w:val="single" w:color="auto" w:sz="8" w:space="0"/>
              <w:right w:val="single" w:color="auto" w:sz="8" w:space="0"/>
            </w:tcBorders>
            <w:vAlign w:val="center"/>
          </w:tcPr>
          <w:p w14:paraId="64FCE7E8">
            <w:pPr>
              <w:widowControl/>
              <w:jc w:val="center"/>
              <w:rPr>
                <w:rFonts w:hint="eastAsia" w:ascii="宋体" w:hAnsi="宋体" w:cs="宋体"/>
                <w:color w:val="000000"/>
                <w:kern w:val="0"/>
                <w:szCs w:val="24"/>
              </w:rPr>
            </w:pPr>
            <w:r>
              <w:rPr>
                <w:rFonts w:hint="eastAsia" w:ascii="宋体" w:hAnsi="宋体" w:cs="宋体"/>
                <w:color w:val="000000"/>
                <w:kern w:val="0"/>
                <w:szCs w:val="24"/>
              </w:rPr>
              <w:t>紧急故障</w:t>
            </w:r>
          </w:p>
        </w:tc>
        <w:tc>
          <w:tcPr>
            <w:tcW w:w="1129" w:type="dxa"/>
            <w:tcBorders>
              <w:top w:val="nil"/>
              <w:left w:val="nil"/>
              <w:bottom w:val="single" w:color="auto" w:sz="8" w:space="0"/>
              <w:right w:val="single" w:color="auto" w:sz="8" w:space="0"/>
            </w:tcBorders>
            <w:vAlign w:val="center"/>
          </w:tcPr>
          <w:p w14:paraId="55599D80">
            <w:pPr>
              <w:widowControl/>
              <w:jc w:val="center"/>
              <w:rPr>
                <w:rFonts w:hint="eastAsia" w:ascii="宋体" w:hAnsi="宋体" w:cs="宋体"/>
                <w:color w:val="000000"/>
                <w:kern w:val="0"/>
                <w:szCs w:val="24"/>
              </w:rPr>
            </w:pPr>
            <w:r>
              <w:rPr>
                <w:rFonts w:hint="eastAsia" w:ascii="宋体" w:hAnsi="宋体" w:cs="宋体"/>
                <w:color w:val="000000"/>
                <w:kern w:val="0"/>
                <w:szCs w:val="24"/>
              </w:rPr>
              <w:t>立即</w:t>
            </w:r>
          </w:p>
        </w:tc>
        <w:tc>
          <w:tcPr>
            <w:tcW w:w="2693" w:type="dxa"/>
            <w:tcBorders>
              <w:top w:val="nil"/>
              <w:left w:val="nil"/>
              <w:bottom w:val="single" w:color="auto" w:sz="8" w:space="0"/>
              <w:right w:val="single" w:color="auto" w:sz="8" w:space="0"/>
            </w:tcBorders>
            <w:vAlign w:val="center"/>
          </w:tcPr>
          <w:p w14:paraId="69FC18C1">
            <w:pPr>
              <w:widowControl/>
              <w:jc w:val="center"/>
              <w:rPr>
                <w:rFonts w:hint="eastAsia" w:ascii="宋体" w:hAnsi="宋体" w:cs="宋体"/>
                <w:color w:val="000000"/>
                <w:kern w:val="0"/>
                <w:szCs w:val="24"/>
              </w:rPr>
            </w:pPr>
            <w:r>
              <w:rPr>
                <w:rFonts w:hint="eastAsia" w:ascii="宋体" w:hAnsi="宋体" w:cs="宋体"/>
                <w:color w:val="000000"/>
                <w:kern w:val="0"/>
                <w:szCs w:val="24"/>
              </w:rPr>
              <w:t>最快交通工具&lt;=2小时</w:t>
            </w:r>
          </w:p>
        </w:tc>
        <w:tc>
          <w:tcPr>
            <w:tcW w:w="1134" w:type="dxa"/>
            <w:tcBorders>
              <w:top w:val="nil"/>
              <w:left w:val="nil"/>
              <w:bottom w:val="single" w:color="auto" w:sz="8" w:space="0"/>
              <w:right w:val="single" w:color="auto" w:sz="8" w:space="0"/>
            </w:tcBorders>
            <w:vAlign w:val="center"/>
          </w:tcPr>
          <w:p w14:paraId="074E9B7A">
            <w:pPr>
              <w:widowControl/>
              <w:jc w:val="center"/>
              <w:rPr>
                <w:rFonts w:hint="eastAsia" w:ascii="宋体" w:hAnsi="宋体" w:cs="宋体"/>
                <w:color w:val="000000"/>
                <w:kern w:val="0"/>
                <w:szCs w:val="24"/>
              </w:rPr>
            </w:pPr>
            <w:r>
              <w:rPr>
                <w:rFonts w:hint="eastAsia" w:ascii="宋体" w:hAnsi="宋体" w:cs="宋体"/>
                <w:color w:val="000000"/>
                <w:kern w:val="0"/>
                <w:szCs w:val="24"/>
              </w:rPr>
              <w:t>&lt;=2小时</w:t>
            </w:r>
          </w:p>
        </w:tc>
        <w:tc>
          <w:tcPr>
            <w:tcW w:w="2552" w:type="dxa"/>
            <w:tcBorders>
              <w:top w:val="nil"/>
              <w:left w:val="nil"/>
              <w:bottom w:val="single" w:color="auto" w:sz="8" w:space="0"/>
              <w:right w:val="single" w:color="auto" w:sz="8" w:space="0"/>
            </w:tcBorders>
            <w:vAlign w:val="center"/>
          </w:tcPr>
          <w:p w14:paraId="6DAF585B">
            <w:pPr>
              <w:widowControl/>
              <w:jc w:val="center"/>
              <w:rPr>
                <w:rFonts w:hint="eastAsia" w:ascii="宋体" w:hAnsi="宋体" w:cs="宋体"/>
                <w:color w:val="000000"/>
                <w:kern w:val="0"/>
                <w:szCs w:val="24"/>
              </w:rPr>
            </w:pPr>
            <w:r>
              <w:rPr>
                <w:rFonts w:hint="eastAsia" w:ascii="宋体" w:hAnsi="宋体" w:cs="宋体"/>
                <w:color w:val="000000"/>
                <w:kern w:val="0"/>
                <w:szCs w:val="24"/>
              </w:rPr>
              <w:t>最快交通工具&lt;=3小时</w:t>
            </w:r>
          </w:p>
        </w:tc>
      </w:tr>
      <w:tr w14:paraId="410F7547">
        <w:tblPrEx>
          <w:tblCellMar>
            <w:top w:w="0" w:type="dxa"/>
            <w:left w:w="108" w:type="dxa"/>
            <w:bottom w:w="0" w:type="dxa"/>
            <w:right w:w="108" w:type="dxa"/>
          </w:tblCellMar>
        </w:tblPrEx>
        <w:trPr>
          <w:trHeight w:val="288" w:hRule="atLeast"/>
        </w:trPr>
        <w:tc>
          <w:tcPr>
            <w:tcW w:w="0" w:type="auto"/>
            <w:tcBorders>
              <w:top w:val="nil"/>
              <w:left w:val="single" w:color="auto" w:sz="8" w:space="0"/>
              <w:bottom w:val="single" w:color="auto" w:sz="8" w:space="0"/>
              <w:right w:val="single" w:color="auto" w:sz="8" w:space="0"/>
            </w:tcBorders>
            <w:vAlign w:val="center"/>
          </w:tcPr>
          <w:p w14:paraId="20ABC155">
            <w:pPr>
              <w:widowControl/>
              <w:jc w:val="center"/>
              <w:rPr>
                <w:rFonts w:hint="eastAsia" w:ascii="宋体" w:hAnsi="宋体" w:cs="宋体"/>
                <w:color w:val="000000"/>
                <w:kern w:val="0"/>
                <w:szCs w:val="24"/>
              </w:rPr>
            </w:pPr>
            <w:r>
              <w:rPr>
                <w:rFonts w:hint="eastAsia" w:ascii="宋体" w:hAnsi="宋体" w:cs="宋体"/>
                <w:color w:val="000000"/>
                <w:kern w:val="0"/>
                <w:szCs w:val="24"/>
              </w:rPr>
              <w:t>一般故障</w:t>
            </w:r>
          </w:p>
        </w:tc>
        <w:tc>
          <w:tcPr>
            <w:tcW w:w="1129" w:type="dxa"/>
            <w:tcBorders>
              <w:top w:val="nil"/>
              <w:left w:val="nil"/>
              <w:bottom w:val="single" w:color="auto" w:sz="8" w:space="0"/>
              <w:right w:val="single" w:color="auto" w:sz="8" w:space="0"/>
            </w:tcBorders>
            <w:vAlign w:val="center"/>
          </w:tcPr>
          <w:p w14:paraId="7824A63A">
            <w:pPr>
              <w:widowControl/>
              <w:jc w:val="center"/>
              <w:rPr>
                <w:rFonts w:hint="eastAsia" w:ascii="宋体" w:hAnsi="宋体" w:cs="宋体"/>
                <w:color w:val="000000"/>
                <w:kern w:val="0"/>
                <w:szCs w:val="24"/>
              </w:rPr>
            </w:pPr>
            <w:r>
              <w:rPr>
                <w:rFonts w:hint="eastAsia" w:ascii="宋体" w:hAnsi="宋体" w:cs="宋体"/>
                <w:color w:val="000000"/>
                <w:kern w:val="0"/>
                <w:szCs w:val="24"/>
              </w:rPr>
              <w:t>&lt;=2小时</w:t>
            </w:r>
          </w:p>
        </w:tc>
        <w:tc>
          <w:tcPr>
            <w:tcW w:w="2693" w:type="dxa"/>
            <w:tcBorders>
              <w:top w:val="nil"/>
              <w:left w:val="nil"/>
              <w:bottom w:val="single" w:color="auto" w:sz="8" w:space="0"/>
              <w:right w:val="single" w:color="auto" w:sz="8" w:space="0"/>
            </w:tcBorders>
            <w:vAlign w:val="center"/>
          </w:tcPr>
          <w:p w14:paraId="310A02CC">
            <w:pPr>
              <w:widowControl/>
              <w:jc w:val="center"/>
              <w:rPr>
                <w:rFonts w:hint="eastAsia" w:ascii="宋体" w:hAnsi="宋体" w:cs="宋体"/>
                <w:color w:val="000000"/>
                <w:kern w:val="0"/>
                <w:szCs w:val="24"/>
              </w:rPr>
            </w:pPr>
            <w:r>
              <w:rPr>
                <w:rFonts w:hint="eastAsia" w:ascii="宋体" w:hAnsi="宋体" w:cs="宋体"/>
                <w:color w:val="000000"/>
                <w:kern w:val="0"/>
                <w:szCs w:val="24"/>
              </w:rPr>
              <w:t>&lt;=4小时</w:t>
            </w:r>
          </w:p>
        </w:tc>
        <w:tc>
          <w:tcPr>
            <w:tcW w:w="1134" w:type="dxa"/>
            <w:tcBorders>
              <w:top w:val="nil"/>
              <w:left w:val="nil"/>
              <w:bottom w:val="single" w:color="auto" w:sz="8" w:space="0"/>
              <w:right w:val="single" w:color="auto" w:sz="8" w:space="0"/>
            </w:tcBorders>
            <w:vAlign w:val="center"/>
          </w:tcPr>
          <w:p w14:paraId="681A0C2C">
            <w:pPr>
              <w:widowControl/>
              <w:jc w:val="center"/>
              <w:rPr>
                <w:rFonts w:hint="eastAsia" w:ascii="宋体" w:hAnsi="宋体" w:cs="宋体"/>
                <w:color w:val="000000"/>
                <w:kern w:val="0"/>
                <w:szCs w:val="24"/>
              </w:rPr>
            </w:pPr>
            <w:r>
              <w:rPr>
                <w:rFonts w:hint="eastAsia" w:ascii="宋体" w:hAnsi="宋体" w:cs="宋体"/>
                <w:color w:val="000000"/>
                <w:kern w:val="0"/>
                <w:szCs w:val="24"/>
              </w:rPr>
              <w:t>&lt;=4小时</w:t>
            </w:r>
          </w:p>
        </w:tc>
        <w:tc>
          <w:tcPr>
            <w:tcW w:w="2552" w:type="dxa"/>
            <w:tcBorders>
              <w:top w:val="nil"/>
              <w:left w:val="nil"/>
              <w:bottom w:val="single" w:color="auto" w:sz="8" w:space="0"/>
              <w:right w:val="single" w:color="auto" w:sz="8" w:space="0"/>
            </w:tcBorders>
            <w:vAlign w:val="center"/>
          </w:tcPr>
          <w:p w14:paraId="4A51D970">
            <w:pPr>
              <w:widowControl/>
              <w:jc w:val="center"/>
              <w:rPr>
                <w:rFonts w:hint="eastAsia" w:ascii="宋体" w:hAnsi="宋体" w:cs="宋体"/>
                <w:color w:val="000000"/>
                <w:kern w:val="0"/>
                <w:szCs w:val="24"/>
              </w:rPr>
            </w:pPr>
            <w:r>
              <w:rPr>
                <w:rFonts w:hint="eastAsia" w:ascii="宋体" w:hAnsi="宋体" w:cs="宋体"/>
                <w:color w:val="000000"/>
                <w:kern w:val="0"/>
                <w:szCs w:val="24"/>
              </w:rPr>
              <w:t>/</w:t>
            </w:r>
          </w:p>
        </w:tc>
      </w:tr>
    </w:tbl>
    <w:p w14:paraId="57B22979"/>
    <w:p w14:paraId="57169E81">
      <w:pPr>
        <w:pStyle w:val="2"/>
        <w:ind w:left="480" w:firstLine="480"/>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03241804"/>
      <w:docPartObj>
        <w:docPartGallery w:val="autotext"/>
      </w:docPartObj>
    </w:sdtPr>
    <w:sdtContent>
      <w:p w14:paraId="777C2908">
        <w:pPr>
          <w:pStyle w:val="5"/>
          <w:jc w:val="center"/>
          <w:rPr>
            <w:rFonts w:hint="eastAsia"/>
          </w:rPr>
        </w:pPr>
        <w:r>
          <w:fldChar w:fldCharType="begin"/>
        </w:r>
        <w:r>
          <w:instrText xml:space="preserve">PAGE   \* MERGEFORMAT</w:instrText>
        </w:r>
        <w:r>
          <w:fldChar w:fldCharType="separate"/>
        </w:r>
        <w:r>
          <w:rPr>
            <w:lang w:val="zh-CN"/>
          </w:rPr>
          <w:t>2</w:t>
        </w:r>
        <w:r>
          <w:fldChar w:fldCharType="end"/>
        </w:r>
      </w:p>
    </w:sdtContent>
  </w:sdt>
  <w:p w14:paraId="2CC255D1">
    <w:pPr>
      <w:pStyle w:val="5"/>
      <w:rPr>
        <w:rFonts w:hint="eastAsia"/>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51"/>
    <w:rsid w:val="00070D9B"/>
    <w:rsid w:val="000D4217"/>
    <w:rsid w:val="00142171"/>
    <w:rsid w:val="001609B1"/>
    <w:rsid w:val="00186B3F"/>
    <w:rsid w:val="001C590C"/>
    <w:rsid w:val="001D31F8"/>
    <w:rsid w:val="00261551"/>
    <w:rsid w:val="00294E59"/>
    <w:rsid w:val="00305D74"/>
    <w:rsid w:val="00327BA4"/>
    <w:rsid w:val="003D234F"/>
    <w:rsid w:val="003E4FCF"/>
    <w:rsid w:val="00436B0C"/>
    <w:rsid w:val="004552C0"/>
    <w:rsid w:val="005D65CA"/>
    <w:rsid w:val="006235B3"/>
    <w:rsid w:val="00636C40"/>
    <w:rsid w:val="006B1985"/>
    <w:rsid w:val="006C7A09"/>
    <w:rsid w:val="006F3BF9"/>
    <w:rsid w:val="006F709F"/>
    <w:rsid w:val="00716214"/>
    <w:rsid w:val="007427BE"/>
    <w:rsid w:val="00751FDA"/>
    <w:rsid w:val="008C6F5F"/>
    <w:rsid w:val="009650C5"/>
    <w:rsid w:val="00A109E9"/>
    <w:rsid w:val="00A82FC2"/>
    <w:rsid w:val="00B372A9"/>
    <w:rsid w:val="00BE79E1"/>
    <w:rsid w:val="00D62CAC"/>
    <w:rsid w:val="00D97F2B"/>
    <w:rsid w:val="00E37221"/>
    <w:rsid w:val="00F632FC"/>
    <w:rsid w:val="00FC28B5"/>
    <w:rsid w:val="54CE11CD"/>
    <w:rsid w:val="787D590A"/>
    <w:rsid w:val="7A8476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4"/>
    <w:semiHidden/>
    <w:unhideWhenUsed/>
    <w:qFormat/>
    <w:uiPriority w:val="99"/>
    <w:pPr>
      <w:ind w:firstLine="420" w:firstLineChars="200"/>
    </w:pPr>
  </w:style>
  <w:style w:type="paragraph" w:styleId="3">
    <w:name w:val="Body Text Indent"/>
    <w:basedOn w:val="1"/>
    <w:link w:val="13"/>
    <w:semiHidden/>
    <w:unhideWhenUsed/>
    <w:uiPriority w:val="99"/>
    <w:pPr>
      <w:spacing w:after="120"/>
      <w:ind w:left="420" w:leftChars="200"/>
    </w:pPr>
  </w:style>
  <w:style w:type="paragraph" w:styleId="4">
    <w:name w:val="annotation text"/>
    <w:basedOn w:val="1"/>
    <w:semiHidden/>
    <w:unhideWhenUsed/>
    <w:uiPriority w:val="99"/>
    <w:pPr>
      <w:jc w:val="left"/>
    </w:pPr>
  </w:style>
  <w:style w:type="paragraph" w:styleId="5">
    <w:name w:val="footer"/>
    <w:basedOn w:val="1"/>
    <w:link w:val="11"/>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9">
    <w:name w:val="annotation reference"/>
    <w:basedOn w:val="8"/>
    <w:semiHidden/>
    <w:unhideWhenUsed/>
    <w:qFormat/>
    <w:uiPriority w:val="99"/>
    <w:rPr>
      <w:sz w:val="21"/>
      <w:szCs w:val="21"/>
    </w:rPr>
  </w:style>
  <w:style w:type="character" w:customStyle="1" w:styleId="10">
    <w:name w:val="页眉 字符"/>
    <w:basedOn w:val="8"/>
    <w:link w:val="6"/>
    <w:qFormat/>
    <w:uiPriority w:val="99"/>
    <w:rPr>
      <w:sz w:val="18"/>
      <w:szCs w:val="18"/>
    </w:rPr>
  </w:style>
  <w:style w:type="character" w:customStyle="1" w:styleId="11">
    <w:name w:val="页脚 字符"/>
    <w:basedOn w:val="8"/>
    <w:link w:val="5"/>
    <w:qFormat/>
    <w:uiPriority w:val="99"/>
    <w:rPr>
      <w:sz w:val="18"/>
      <w:szCs w:val="18"/>
    </w:rPr>
  </w:style>
  <w:style w:type="paragraph" w:styleId="12">
    <w:name w:val="List Paragraph"/>
    <w:basedOn w:val="1"/>
    <w:qFormat/>
    <w:uiPriority w:val="34"/>
    <w:pPr>
      <w:ind w:firstLine="420" w:firstLineChars="200"/>
    </w:pPr>
    <w:rPr>
      <w:rFonts w:ascii="Calibri" w:hAnsi="Calibri"/>
      <w:szCs w:val="22"/>
    </w:rPr>
  </w:style>
  <w:style w:type="character" w:customStyle="1" w:styleId="13">
    <w:name w:val="正文文本缩进 字符"/>
    <w:basedOn w:val="8"/>
    <w:link w:val="3"/>
    <w:semiHidden/>
    <w:qFormat/>
    <w:uiPriority w:val="99"/>
    <w:rPr>
      <w:rFonts w:ascii="Times New Roman" w:hAnsi="Times New Roman" w:eastAsia="宋体" w:cs="Times New Roman"/>
      <w:sz w:val="24"/>
      <w:szCs w:val="20"/>
    </w:rPr>
  </w:style>
  <w:style w:type="character" w:customStyle="1" w:styleId="14">
    <w:name w:val="正文文本首行缩进 2 字符"/>
    <w:basedOn w:val="13"/>
    <w:link w:val="2"/>
    <w:semiHidden/>
    <w:qFormat/>
    <w:uiPriority w:val="99"/>
    <w:rPr>
      <w:rFonts w:ascii="Times New Roman" w:hAnsi="Times New Roman" w:eastAsia="宋体" w:cs="Times New Roman"/>
      <w:sz w:val="24"/>
      <w:szCs w:val="20"/>
    </w:rPr>
  </w:style>
  <w:style w:type="paragraph" w:customStyle="1" w:styleId="15">
    <w:name w:val="Revision"/>
    <w:hidden/>
    <w:unhideWhenUsed/>
    <w:qFormat/>
    <w:uiPriority w:val="99"/>
    <w:rPr>
      <w:rFonts w:ascii="Times New Roman" w:hAnsi="Times New Roman" w:eastAsia="宋体" w:cs="Times New Roman"/>
      <w:kern w:val="2"/>
      <w:sz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1161</Words>
  <Characters>1252</Characters>
  <Lines>10</Lines>
  <Paragraphs>2</Paragraphs>
  <TotalTime>27</TotalTime>
  <ScaleCrop>false</ScaleCrop>
  <LinksUpToDate>false</LinksUpToDate>
  <CharactersWithSpaces>1253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2023-07-24T01:32:00Z</dcterms:created>
  <dc:creator>dell</dc:creator>
  <cp:lastModifiedBy>YANG 雅棋</cp:lastModifiedBy>
  <cp:lastPrinted>2025-06-16T08:19:00Z</cp:lastPrinted>
  <dcterms:modified xsi:type="dcterms:W3CDTF">2025-06-16T09:26:34Z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eyJoZGlkIjoiMmRjODI0ODk1YjZlYWY4ZjQ0YmY2YjE1NDFkMDZkOWYiLCJ1c2VySWQiOiIxMTM2NjQ1MTM0In0=</vt:lpwstr>
  </property>
  <property fmtid="{D5CDD505-2E9C-101B-9397-08002B2CF9AE}" pid="3" name="KSOProductBuildVer">
    <vt:lpwstr>2052-12.1.0.21171</vt:lpwstr>
  </property>
  <property fmtid="{D5CDD505-2E9C-101B-9397-08002B2CF9AE}" pid="4" name="ICV">
    <vt:lpwstr>482A61838DDE440298852F53230F6F5D_12</vt:lpwstr>
  </property>
</Properties>
</file>