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E19C96F">
      <w:pP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附件：</w:t>
      </w:r>
    </w:p>
    <w:p w14:paraId="1354C4DB">
      <w:pP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</w:pPr>
    </w:p>
    <w:p w14:paraId="751EAA97">
      <w:pPr>
        <w:jc w:val="center"/>
        <w:rPr>
          <w:rFonts w:ascii="黑体" w:hAnsi="黑体" w:eastAsia="黑体"/>
          <w:sz w:val="44"/>
          <w:szCs w:val="44"/>
        </w:rPr>
      </w:pPr>
      <w:bookmarkStart w:id="0" w:name="_GoBack"/>
      <w:r>
        <w:rPr>
          <w:rFonts w:hint="eastAsia" w:ascii="黑体" w:hAnsi="黑体" w:eastAsia="黑体"/>
          <w:sz w:val="44"/>
          <w:szCs w:val="44"/>
        </w:rPr>
        <w:t>深圳市宝安排水有限公司2025-2026年度砂子、石子及红砖供应商采购项目询价回函</w:t>
      </w:r>
      <w:bookmarkEnd w:id="0"/>
    </w:p>
    <w:p w14:paraId="6FF05045">
      <w:pPr>
        <w:jc w:val="center"/>
        <w:rPr>
          <w:rFonts w:ascii="黑体" w:hAnsi="黑体" w:eastAsia="黑体"/>
          <w:sz w:val="44"/>
          <w:szCs w:val="44"/>
        </w:rPr>
      </w:pPr>
    </w:p>
    <w:p w14:paraId="0032BF61">
      <w:pPr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 xml:space="preserve">致：深圳市宝安排水有限公司 </w:t>
      </w:r>
      <w:r>
        <w:rPr>
          <w:rFonts w:asciiTheme="minorEastAsia" w:hAnsiTheme="minorEastAsia" w:eastAsiaTheme="minorEastAsia"/>
          <w:sz w:val="28"/>
          <w:szCs w:val="28"/>
        </w:rPr>
        <w:t xml:space="preserve">          </w:t>
      </w:r>
      <w:r>
        <w:rPr>
          <w:rFonts w:hint="eastAsia" w:asciiTheme="minorEastAsia" w:hAnsiTheme="minorEastAsia" w:eastAsiaTheme="minorEastAsia"/>
          <w:sz w:val="28"/>
          <w:szCs w:val="28"/>
        </w:rPr>
        <w:t>联系人：</w:t>
      </w: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殷工</w:t>
      </w:r>
      <w:r>
        <w:rPr>
          <w:rFonts w:asciiTheme="minorEastAsia" w:hAnsiTheme="minorEastAsia" w:eastAsiaTheme="minorEastAsia"/>
          <w:sz w:val="28"/>
          <w:szCs w:val="28"/>
        </w:rPr>
        <w:t xml:space="preserve">                </w:t>
      </w:r>
      <w:r>
        <w:rPr>
          <w:rFonts w:hint="eastAsia" w:asciiTheme="minorEastAsia" w:hAnsiTheme="minorEastAsia" w:eastAsiaTheme="minorEastAsia"/>
          <w:sz w:val="28"/>
          <w:szCs w:val="28"/>
        </w:rPr>
        <w:t xml:space="preserve">   </w:t>
      </w: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/>
          <w:sz w:val="28"/>
          <w:szCs w:val="28"/>
        </w:rPr>
        <w:t>联系方式：</w:t>
      </w:r>
      <w:r>
        <w:rPr>
          <w:rFonts w:asciiTheme="minorEastAsia" w:hAnsiTheme="minorEastAsia" w:eastAsiaTheme="minorEastAsia"/>
          <w:sz w:val="28"/>
          <w:szCs w:val="28"/>
        </w:rPr>
        <w:t>0755-23732542</w:t>
      </w:r>
    </w:p>
    <w:p w14:paraId="3E0B0666">
      <w:pPr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 xml:space="preserve">报价单位： </w:t>
      </w:r>
      <w:r>
        <w:rPr>
          <w:rFonts w:asciiTheme="minorEastAsia" w:hAnsiTheme="minorEastAsia" w:eastAsiaTheme="minorEastAsia"/>
          <w:sz w:val="28"/>
          <w:szCs w:val="28"/>
        </w:rPr>
        <w:t xml:space="preserve">                         </w:t>
      </w:r>
      <w:r>
        <w:rPr>
          <w:rFonts w:hint="eastAsia" w:asciiTheme="minorEastAsia" w:hAnsiTheme="minorEastAsia" w:eastAsiaTheme="minorEastAsia"/>
          <w:sz w:val="28"/>
          <w:szCs w:val="28"/>
        </w:rPr>
        <w:t xml:space="preserve"> 联系人： </w:t>
      </w:r>
      <w:r>
        <w:rPr>
          <w:rFonts w:asciiTheme="minorEastAsia" w:hAnsiTheme="minorEastAsia" w:eastAsiaTheme="minorEastAsia"/>
          <w:sz w:val="28"/>
          <w:szCs w:val="28"/>
        </w:rPr>
        <w:t xml:space="preserve">                       </w:t>
      </w:r>
      <w:r>
        <w:rPr>
          <w:rFonts w:hint="eastAsia" w:asciiTheme="minorEastAsia" w:hAnsiTheme="minorEastAsia" w:eastAsiaTheme="minorEastAsia"/>
          <w:sz w:val="28"/>
          <w:szCs w:val="28"/>
        </w:rPr>
        <w:t>联系方式：</w:t>
      </w:r>
    </w:p>
    <w:tbl>
      <w:tblPr>
        <w:tblStyle w:val="4"/>
        <w:tblW w:w="1470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0"/>
        <w:gridCol w:w="1682"/>
        <w:gridCol w:w="2145"/>
        <w:gridCol w:w="4474"/>
        <w:gridCol w:w="1247"/>
        <w:gridCol w:w="1373"/>
        <w:gridCol w:w="1549"/>
        <w:gridCol w:w="1137"/>
      </w:tblGrid>
      <w:tr w14:paraId="04B770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  <w:jc w:val="center"/>
        </w:trPr>
        <w:tc>
          <w:tcPr>
            <w:tcW w:w="1100" w:type="dxa"/>
            <w:vAlign w:val="center"/>
          </w:tcPr>
          <w:p w14:paraId="6D639EE1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序号</w:t>
            </w:r>
          </w:p>
        </w:tc>
        <w:tc>
          <w:tcPr>
            <w:tcW w:w="1682" w:type="dxa"/>
            <w:vAlign w:val="center"/>
          </w:tcPr>
          <w:p w14:paraId="4F84F0BC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产品名称</w:t>
            </w:r>
          </w:p>
        </w:tc>
        <w:tc>
          <w:tcPr>
            <w:tcW w:w="2145" w:type="dxa"/>
            <w:vAlign w:val="center"/>
          </w:tcPr>
          <w:p w14:paraId="2E11D5FF"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规格</w:t>
            </w:r>
          </w:p>
        </w:tc>
        <w:tc>
          <w:tcPr>
            <w:tcW w:w="4474" w:type="dxa"/>
          </w:tcPr>
          <w:p w14:paraId="3D83FBC3"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技术要求</w:t>
            </w:r>
          </w:p>
        </w:tc>
        <w:tc>
          <w:tcPr>
            <w:tcW w:w="1247" w:type="dxa"/>
          </w:tcPr>
          <w:p w14:paraId="135F3228"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单位</w:t>
            </w:r>
          </w:p>
        </w:tc>
        <w:tc>
          <w:tcPr>
            <w:tcW w:w="1373" w:type="dxa"/>
          </w:tcPr>
          <w:p w14:paraId="142F1209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年预估量</w:t>
            </w:r>
          </w:p>
        </w:tc>
        <w:tc>
          <w:tcPr>
            <w:tcW w:w="1549" w:type="dxa"/>
          </w:tcPr>
          <w:p w14:paraId="30CC115D"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单价（元）</w:t>
            </w:r>
          </w:p>
        </w:tc>
        <w:tc>
          <w:tcPr>
            <w:tcW w:w="1137" w:type="dxa"/>
          </w:tcPr>
          <w:p w14:paraId="1B5B642D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备注</w:t>
            </w:r>
          </w:p>
        </w:tc>
      </w:tr>
      <w:tr w14:paraId="3718BD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2" w:hRule="atLeast"/>
          <w:jc w:val="center"/>
        </w:trPr>
        <w:tc>
          <w:tcPr>
            <w:tcW w:w="1100" w:type="dxa"/>
            <w:vAlign w:val="center"/>
          </w:tcPr>
          <w:p w14:paraId="21D1DE24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1</w:t>
            </w:r>
          </w:p>
        </w:tc>
        <w:tc>
          <w:tcPr>
            <w:tcW w:w="1682" w:type="dxa"/>
            <w:vMerge w:val="restart"/>
            <w:vAlign w:val="center"/>
          </w:tcPr>
          <w:p w14:paraId="6F354EC6"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砂子</w:t>
            </w:r>
          </w:p>
        </w:tc>
        <w:tc>
          <w:tcPr>
            <w:tcW w:w="2145" w:type="dxa"/>
            <w:vAlign w:val="center"/>
          </w:tcPr>
          <w:p w14:paraId="7EFF64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细砂（2.2~1.6）</w:t>
            </w:r>
          </w:p>
        </w:tc>
        <w:tc>
          <w:tcPr>
            <w:tcW w:w="4474" w:type="dxa"/>
            <w:vMerge w:val="restart"/>
            <w:vAlign w:val="center"/>
          </w:tcPr>
          <w:p w14:paraId="14B44971">
            <w:pPr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1.产品须符合GB/T 14684-2022《建设用砂》标准；</w:t>
            </w:r>
          </w:p>
          <w:p w14:paraId="7A1813D2">
            <w:pPr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2.氯离子含量≤0.01%，云母≤0.5%，有机物浅于标准色；</w:t>
            </w:r>
          </w:p>
          <w:p w14:paraId="25702175">
            <w:pPr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3.所提供砂须为天然砂或机制砂，其中：天然砂含泥量应≤3.0%，机制砂石粉含量应符合上述要求国标中Ⅱ类标准；</w:t>
            </w:r>
          </w:p>
          <w:p w14:paraId="7A375B4E"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4.泥块含量≤1.0%，石子及鹅卵石含量≤2%。</w:t>
            </w:r>
          </w:p>
        </w:tc>
        <w:tc>
          <w:tcPr>
            <w:tcW w:w="1247" w:type="dxa"/>
            <w:vMerge w:val="restart"/>
            <w:vAlign w:val="center"/>
          </w:tcPr>
          <w:p w14:paraId="773C8B95"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立方米</w:t>
            </w:r>
          </w:p>
        </w:tc>
        <w:tc>
          <w:tcPr>
            <w:tcW w:w="1373" w:type="dxa"/>
            <w:vAlign w:val="center"/>
          </w:tcPr>
          <w:p w14:paraId="0E67B1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1549" w:type="dxa"/>
            <w:vAlign w:val="center"/>
          </w:tcPr>
          <w:p w14:paraId="08677304"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1137" w:type="dxa"/>
            <w:vAlign w:val="center"/>
          </w:tcPr>
          <w:p w14:paraId="7424A777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 w14:paraId="602B78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1" w:hRule="atLeast"/>
          <w:jc w:val="center"/>
        </w:trPr>
        <w:tc>
          <w:tcPr>
            <w:tcW w:w="1100" w:type="dxa"/>
            <w:vAlign w:val="center"/>
          </w:tcPr>
          <w:p w14:paraId="7A0830F5"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682" w:type="dxa"/>
            <w:vMerge w:val="continue"/>
            <w:vAlign w:val="center"/>
          </w:tcPr>
          <w:p w14:paraId="63F4105C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2145" w:type="dxa"/>
            <w:vAlign w:val="center"/>
          </w:tcPr>
          <w:p w14:paraId="56B7E3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中砂（3.0~2.3）</w:t>
            </w:r>
          </w:p>
        </w:tc>
        <w:tc>
          <w:tcPr>
            <w:tcW w:w="4474" w:type="dxa"/>
            <w:vMerge w:val="continue"/>
            <w:vAlign w:val="center"/>
          </w:tcPr>
          <w:p w14:paraId="1578CEEB">
            <w:pPr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47" w:type="dxa"/>
            <w:vMerge w:val="continue"/>
            <w:vAlign w:val="center"/>
          </w:tcPr>
          <w:p w14:paraId="71EAD14F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373" w:type="dxa"/>
            <w:vAlign w:val="center"/>
          </w:tcPr>
          <w:p w14:paraId="273FBF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235</w:t>
            </w:r>
          </w:p>
        </w:tc>
        <w:tc>
          <w:tcPr>
            <w:tcW w:w="1549" w:type="dxa"/>
            <w:vAlign w:val="center"/>
          </w:tcPr>
          <w:p w14:paraId="5CDD068D"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1137" w:type="dxa"/>
            <w:vAlign w:val="center"/>
          </w:tcPr>
          <w:p w14:paraId="1CA97B75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 w14:paraId="2DDDC2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8" w:hRule="atLeast"/>
          <w:jc w:val="center"/>
        </w:trPr>
        <w:tc>
          <w:tcPr>
            <w:tcW w:w="1100" w:type="dxa"/>
            <w:vAlign w:val="center"/>
          </w:tcPr>
          <w:p w14:paraId="576223DE"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682" w:type="dxa"/>
            <w:vMerge w:val="continue"/>
            <w:vAlign w:val="center"/>
          </w:tcPr>
          <w:p w14:paraId="1B8674FB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2145" w:type="dxa"/>
            <w:vAlign w:val="center"/>
          </w:tcPr>
          <w:p w14:paraId="1461C0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粗砂（3.7~3.1）</w:t>
            </w:r>
          </w:p>
        </w:tc>
        <w:tc>
          <w:tcPr>
            <w:tcW w:w="4474" w:type="dxa"/>
            <w:vMerge w:val="continue"/>
            <w:vAlign w:val="center"/>
          </w:tcPr>
          <w:p w14:paraId="4312F0CB">
            <w:pPr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47" w:type="dxa"/>
            <w:vMerge w:val="continue"/>
            <w:vAlign w:val="center"/>
          </w:tcPr>
          <w:p w14:paraId="1D2422B1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373" w:type="dxa"/>
            <w:vAlign w:val="center"/>
          </w:tcPr>
          <w:p w14:paraId="33C417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</w:t>
            </w:r>
          </w:p>
        </w:tc>
        <w:tc>
          <w:tcPr>
            <w:tcW w:w="1549" w:type="dxa"/>
            <w:vAlign w:val="center"/>
          </w:tcPr>
          <w:p w14:paraId="6F6F5E19"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1137" w:type="dxa"/>
            <w:vAlign w:val="center"/>
          </w:tcPr>
          <w:p w14:paraId="3E88352F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 w14:paraId="5E62D0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1100" w:type="dxa"/>
            <w:vAlign w:val="center"/>
          </w:tcPr>
          <w:p w14:paraId="7E726161"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682" w:type="dxa"/>
            <w:vMerge w:val="restart"/>
            <w:vAlign w:val="center"/>
          </w:tcPr>
          <w:p w14:paraId="1D2AB43C"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石子</w:t>
            </w:r>
          </w:p>
        </w:tc>
        <w:tc>
          <w:tcPr>
            <w:tcW w:w="2145" w:type="dxa"/>
            <w:vAlign w:val="center"/>
          </w:tcPr>
          <w:p w14:paraId="2551DD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0-5#</w:t>
            </w:r>
          </w:p>
        </w:tc>
        <w:tc>
          <w:tcPr>
            <w:tcW w:w="4474" w:type="dxa"/>
            <w:vMerge w:val="restart"/>
            <w:vAlign w:val="center"/>
          </w:tcPr>
          <w:p w14:paraId="45BC347E">
            <w:pPr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1.产品须符合 GB/T 14685-2022《建设用卵石、碎石》标准；</w:t>
            </w:r>
          </w:p>
          <w:p w14:paraId="48D965DE"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2.含泥量≤1.0%，泥块含量≤0.2%，针片状颗粒含量≤8%，压碎指标≤20%，吸水率≤2.0%。</w:t>
            </w:r>
          </w:p>
        </w:tc>
        <w:tc>
          <w:tcPr>
            <w:tcW w:w="1247" w:type="dxa"/>
            <w:vMerge w:val="restart"/>
            <w:vAlign w:val="center"/>
          </w:tcPr>
          <w:p w14:paraId="77C0FD72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立方米</w:t>
            </w:r>
          </w:p>
        </w:tc>
        <w:tc>
          <w:tcPr>
            <w:tcW w:w="1373" w:type="dxa"/>
            <w:vAlign w:val="center"/>
          </w:tcPr>
          <w:p w14:paraId="111998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549" w:type="dxa"/>
            <w:vAlign w:val="center"/>
          </w:tcPr>
          <w:p w14:paraId="057DDA0D"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1137" w:type="dxa"/>
            <w:vAlign w:val="center"/>
          </w:tcPr>
          <w:p w14:paraId="05E5AE9A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 w14:paraId="3AD72A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1100" w:type="dxa"/>
            <w:vAlign w:val="center"/>
          </w:tcPr>
          <w:p w14:paraId="75E63DE8"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682" w:type="dxa"/>
            <w:vMerge w:val="continue"/>
            <w:vAlign w:val="center"/>
          </w:tcPr>
          <w:p w14:paraId="2EBB2EE5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2145" w:type="dxa"/>
            <w:vAlign w:val="center"/>
          </w:tcPr>
          <w:p w14:paraId="21C43E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1-2#</w:t>
            </w:r>
          </w:p>
        </w:tc>
        <w:tc>
          <w:tcPr>
            <w:tcW w:w="4474" w:type="dxa"/>
            <w:vMerge w:val="continue"/>
            <w:vAlign w:val="center"/>
          </w:tcPr>
          <w:p w14:paraId="316D6820">
            <w:pPr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47" w:type="dxa"/>
            <w:vMerge w:val="continue"/>
            <w:vAlign w:val="center"/>
          </w:tcPr>
          <w:p w14:paraId="7955F60C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373" w:type="dxa"/>
            <w:vAlign w:val="center"/>
          </w:tcPr>
          <w:p w14:paraId="4D73F1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1549" w:type="dxa"/>
            <w:vAlign w:val="center"/>
          </w:tcPr>
          <w:p w14:paraId="246CA095"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1137" w:type="dxa"/>
            <w:vAlign w:val="center"/>
          </w:tcPr>
          <w:p w14:paraId="34F37F1E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 w14:paraId="3EACC0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1100" w:type="dxa"/>
            <w:vAlign w:val="center"/>
          </w:tcPr>
          <w:p w14:paraId="0F76DA03"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1682" w:type="dxa"/>
            <w:vMerge w:val="continue"/>
            <w:vAlign w:val="center"/>
          </w:tcPr>
          <w:p w14:paraId="50A1E6EF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2145" w:type="dxa"/>
            <w:vAlign w:val="center"/>
          </w:tcPr>
          <w:p w14:paraId="0AFED1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1-3#</w:t>
            </w:r>
          </w:p>
        </w:tc>
        <w:tc>
          <w:tcPr>
            <w:tcW w:w="4474" w:type="dxa"/>
            <w:vMerge w:val="continue"/>
            <w:vAlign w:val="center"/>
          </w:tcPr>
          <w:p w14:paraId="0EBA1063">
            <w:pPr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47" w:type="dxa"/>
            <w:vMerge w:val="continue"/>
            <w:vAlign w:val="center"/>
          </w:tcPr>
          <w:p w14:paraId="3DA55FB7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373" w:type="dxa"/>
            <w:vAlign w:val="center"/>
          </w:tcPr>
          <w:p w14:paraId="4B94C5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1549" w:type="dxa"/>
            <w:vAlign w:val="center"/>
          </w:tcPr>
          <w:p w14:paraId="4100D1AB"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1137" w:type="dxa"/>
            <w:vAlign w:val="center"/>
          </w:tcPr>
          <w:p w14:paraId="01C83233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 w14:paraId="3590F4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1100" w:type="dxa"/>
            <w:vAlign w:val="center"/>
          </w:tcPr>
          <w:p w14:paraId="4C8B44EF"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1682" w:type="dxa"/>
            <w:vMerge w:val="continue"/>
            <w:vAlign w:val="center"/>
          </w:tcPr>
          <w:p w14:paraId="3688160F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2145" w:type="dxa"/>
            <w:vAlign w:val="center"/>
          </w:tcPr>
          <w:p w14:paraId="4575A7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2-3#</w:t>
            </w:r>
          </w:p>
        </w:tc>
        <w:tc>
          <w:tcPr>
            <w:tcW w:w="4474" w:type="dxa"/>
            <w:vMerge w:val="continue"/>
            <w:vAlign w:val="center"/>
          </w:tcPr>
          <w:p w14:paraId="470FAE00">
            <w:pPr>
              <w:jc w:val="left"/>
              <w:rPr>
                <w:rFonts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47" w:type="dxa"/>
            <w:vMerge w:val="continue"/>
            <w:vAlign w:val="center"/>
          </w:tcPr>
          <w:p w14:paraId="569AA18B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373" w:type="dxa"/>
            <w:vAlign w:val="center"/>
          </w:tcPr>
          <w:p w14:paraId="43288E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1549" w:type="dxa"/>
            <w:vAlign w:val="center"/>
          </w:tcPr>
          <w:p w14:paraId="7004F74D"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1137" w:type="dxa"/>
            <w:vAlign w:val="center"/>
          </w:tcPr>
          <w:p w14:paraId="6695B61C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 w14:paraId="6FB792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1100" w:type="dxa"/>
            <w:vAlign w:val="center"/>
          </w:tcPr>
          <w:p w14:paraId="0FC2E825">
            <w:pPr>
              <w:jc w:val="center"/>
              <w:rPr>
                <w:rFonts w:hint="default" w:asciiTheme="minorEastAsia" w:hAnsiTheme="minor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1682" w:type="dxa"/>
            <w:vMerge w:val="restart"/>
            <w:vAlign w:val="center"/>
          </w:tcPr>
          <w:p w14:paraId="2AD50652"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红砖</w:t>
            </w:r>
          </w:p>
        </w:tc>
        <w:tc>
          <w:tcPr>
            <w:tcW w:w="2145" w:type="dxa"/>
            <w:vAlign w:val="center"/>
          </w:tcPr>
          <w:p w14:paraId="4AA18F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200*100*40</w:t>
            </w:r>
          </w:p>
        </w:tc>
        <w:tc>
          <w:tcPr>
            <w:tcW w:w="4474" w:type="dxa"/>
            <w:vMerge w:val="restart"/>
            <w:vAlign w:val="center"/>
          </w:tcPr>
          <w:p w14:paraId="4D0542B7">
            <w:pPr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1.产品须符合 GB/T 5101-2017《烧结普通砖》标准；</w:t>
            </w:r>
          </w:p>
          <w:p w14:paraId="557D4342">
            <w:pPr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2.强度等级：MU15及以上；</w:t>
            </w:r>
          </w:p>
          <w:p w14:paraId="01E28920">
            <w:pPr>
              <w:jc w:val="left"/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3.原料为页岩、煤矸石、粉煤灰；</w:t>
            </w:r>
          </w:p>
          <w:p w14:paraId="256B672F"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4.尺寸允许偏差：长度±3.0mm，宽度±2.5mm，高度±2.0mm。</w:t>
            </w:r>
          </w:p>
        </w:tc>
        <w:tc>
          <w:tcPr>
            <w:tcW w:w="1247" w:type="dxa"/>
            <w:vMerge w:val="restart"/>
            <w:vAlign w:val="center"/>
          </w:tcPr>
          <w:p w14:paraId="63A70948"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块</w:t>
            </w:r>
          </w:p>
        </w:tc>
        <w:tc>
          <w:tcPr>
            <w:tcW w:w="1373" w:type="dxa"/>
            <w:vAlign w:val="center"/>
          </w:tcPr>
          <w:p w14:paraId="7BCA12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4800</w:t>
            </w:r>
          </w:p>
        </w:tc>
        <w:tc>
          <w:tcPr>
            <w:tcW w:w="1549" w:type="dxa"/>
            <w:vAlign w:val="center"/>
          </w:tcPr>
          <w:p w14:paraId="4F0D6DE8"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1137" w:type="dxa"/>
            <w:vAlign w:val="center"/>
          </w:tcPr>
          <w:p w14:paraId="6900085D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 w14:paraId="378C59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1100" w:type="dxa"/>
            <w:vAlign w:val="center"/>
          </w:tcPr>
          <w:p w14:paraId="2A1B0764">
            <w:pPr>
              <w:jc w:val="center"/>
              <w:rPr>
                <w:rFonts w:hint="default" w:asciiTheme="minorEastAsia" w:hAnsiTheme="minor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1682" w:type="dxa"/>
            <w:vMerge w:val="continue"/>
            <w:vAlign w:val="center"/>
          </w:tcPr>
          <w:p w14:paraId="23D0747D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2145" w:type="dxa"/>
            <w:vAlign w:val="center"/>
          </w:tcPr>
          <w:p w14:paraId="3102EF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200*100*50</w:t>
            </w:r>
          </w:p>
        </w:tc>
        <w:tc>
          <w:tcPr>
            <w:tcW w:w="4474" w:type="dxa"/>
            <w:vMerge w:val="continue"/>
            <w:vAlign w:val="center"/>
          </w:tcPr>
          <w:p w14:paraId="0D926A36">
            <w:pPr>
              <w:jc w:val="left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247" w:type="dxa"/>
            <w:vMerge w:val="continue"/>
            <w:vAlign w:val="center"/>
          </w:tcPr>
          <w:p w14:paraId="134B35EB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373" w:type="dxa"/>
            <w:vAlign w:val="center"/>
          </w:tcPr>
          <w:p w14:paraId="234568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17800</w:t>
            </w:r>
          </w:p>
        </w:tc>
        <w:tc>
          <w:tcPr>
            <w:tcW w:w="1549" w:type="dxa"/>
            <w:vAlign w:val="center"/>
          </w:tcPr>
          <w:p w14:paraId="7CED5A1F"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1137" w:type="dxa"/>
            <w:vAlign w:val="center"/>
          </w:tcPr>
          <w:p w14:paraId="619B9688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 w14:paraId="03CE0E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1100" w:type="dxa"/>
            <w:vAlign w:val="center"/>
          </w:tcPr>
          <w:p w14:paraId="30704547">
            <w:pPr>
              <w:jc w:val="center"/>
              <w:rPr>
                <w:rFonts w:hint="default" w:asciiTheme="minorEastAsia" w:hAnsiTheme="minor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1682" w:type="dxa"/>
            <w:vMerge w:val="continue"/>
            <w:vAlign w:val="center"/>
          </w:tcPr>
          <w:p w14:paraId="1D4D5A82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2145" w:type="dxa"/>
            <w:vAlign w:val="center"/>
          </w:tcPr>
          <w:p w14:paraId="654DF0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210*100*40</w:t>
            </w:r>
          </w:p>
        </w:tc>
        <w:tc>
          <w:tcPr>
            <w:tcW w:w="4474" w:type="dxa"/>
            <w:vMerge w:val="continue"/>
            <w:vAlign w:val="center"/>
          </w:tcPr>
          <w:p w14:paraId="56C89E15">
            <w:pPr>
              <w:jc w:val="left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247" w:type="dxa"/>
            <w:vMerge w:val="continue"/>
            <w:vAlign w:val="center"/>
          </w:tcPr>
          <w:p w14:paraId="626C4FDE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373" w:type="dxa"/>
            <w:vAlign w:val="center"/>
          </w:tcPr>
          <w:p w14:paraId="565834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4800</w:t>
            </w:r>
          </w:p>
        </w:tc>
        <w:tc>
          <w:tcPr>
            <w:tcW w:w="1549" w:type="dxa"/>
            <w:vAlign w:val="center"/>
          </w:tcPr>
          <w:p w14:paraId="5AC783AC"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1137" w:type="dxa"/>
            <w:vAlign w:val="center"/>
          </w:tcPr>
          <w:p w14:paraId="04296A7B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 w14:paraId="63835B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1100" w:type="dxa"/>
            <w:vAlign w:val="center"/>
          </w:tcPr>
          <w:p w14:paraId="3260FA4D">
            <w:pPr>
              <w:jc w:val="center"/>
              <w:rPr>
                <w:rFonts w:hint="default" w:asciiTheme="minorEastAsia" w:hAnsiTheme="minor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11</w:t>
            </w:r>
          </w:p>
        </w:tc>
        <w:tc>
          <w:tcPr>
            <w:tcW w:w="1682" w:type="dxa"/>
            <w:vMerge w:val="continue"/>
            <w:vAlign w:val="center"/>
          </w:tcPr>
          <w:p w14:paraId="2CDFB245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2145" w:type="dxa"/>
            <w:vAlign w:val="center"/>
          </w:tcPr>
          <w:p w14:paraId="0AE122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220*100*40</w:t>
            </w:r>
          </w:p>
        </w:tc>
        <w:tc>
          <w:tcPr>
            <w:tcW w:w="4474" w:type="dxa"/>
            <w:vMerge w:val="continue"/>
            <w:vAlign w:val="center"/>
          </w:tcPr>
          <w:p w14:paraId="0790B24F">
            <w:pPr>
              <w:jc w:val="left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247" w:type="dxa"/>
            <w:vMerge w:val="continue"/>
            <w:vAlign w:val="center"/>
          </w:tcPr>
          <w:p w14:paraId="469085E1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373" w:type="dxa"/>
            <w:vAlign w:val="center"/>
          </w:tcPr>
          <w:p w14:paraId="1556B5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3000</w:t>
            </w:r>
          </w:p>
        </w:tc>
        <w:tc>
          <w:tcPr>
            <w:tcW w:w="1549" w:type="dxa"/>
            <w:vAlign w:val="center"/>
          </w:tcPr>
          <w:p w14:paraId="59CE1200"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1137" w:type="dxa"/>
            <w:vAlign w:val="center"/>
          </w:tcPr>
          <w:p w14:paraId="6B594716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 w14:paraId="69CAF6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1100" w:type="dxa"/>
            <w:vAlign w:val="center"/>
          </w:tcPr>
          <w:p w14:paraId="3C119695">
            <w:pPr>
              <w:jc w:val="center"/>
              <w:rPr>
                <w:rFonts w:hint="default" w:asciiTheme="minorEastAsia" w:hAnsiTheme="minor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12</w:t>
            </w:r>
          </w:p>
        </w:tc>
        <w:tc>
          <w:tcPr>
            <w:tcW w:w="1682" w:type="dxa"/>
            <w:vMerge w:val="continue"/>
            <w:vAlign w:val="center"/>
          </w:tcPr>
          <w:p w14:paraId="181E72C5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2145" w:type="dxa"/>
            <w:vAlign w:val="center"/>
          </w:tcPr>
          <w:p w14:paraId="275E22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240*115*53</w:t>
            </w:r>
          </w:p>
        </w:tc>
        <w:tc>
          <w:tcPr>
            <w:tcW w:w="4474" w:type="dxa"/>
            <w:vMerge w:val="continue"/>
            <w:vAlign w:val="center"/>
          </w:tcPr>
          <w:p w14:paraId="6084822E">
            <w:pPr>
              <w:jc w:val="left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247" w:type="dxa"/>
            <w:vMerge w:val="continue"/>
            <w:vAlign w:val="center"/>
          </w:tcPr>
          <w:p w14:paraId="277ADEB6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373" w:type="dxa"/>
            <w:vAlign w:val="center"/>
          </w:tcPr>
          <w:p w14:paraId="7B4969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/>
                <w:b/>
                <w:bCs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5600</w:t>
            </w:r>
          </w:p>
        </w:tc>
        <w:tc>
          <w:tcPr>
            <w:tcW w:w="1549" w:type="dxa"/>
            <w:vAlign w:val="center"/>
          </w:tcPr>
          <w:p w14:paraId="752AD46D">
            <w:pPr>
              <w:jc w:val="center"/>
              <w:rPr>
                <w:rFonts w:hint="eastAsia" w:asciiTheme="minorEastAsia" w:hAnsiTheme="minorEastAsia" w:eastAsiaTheme="minorEastAsia"/>
                <w:b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1137" w:type="dxa"/>
            <w:vAlign w:val="center"/>
          </w:tcPr>
          <w:p w14:paraId="231340C5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 w14:paraId="40998F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4927" w:type="dxa"/>
            <w:gridSpan w:val="3"/>
            <w:vAlign w:val="center"/>
          </w:tcPr>
          <w:p w14:paraId="334C1C88">
            <w:pPr>
              <w:jc w:val="center"/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总价</w:t>
            </w:r>
          </w:p>
        </w:tc>
        <w:tc>
          <w:tcPr>
            <w:tcW w:w="9780" w:type="dxa"/>
            <w:gridSpan w:val="5"/>
            <w:vAlign w:val="center"/>
          </w:tcPr>
          <w:p w14:paraId="4A58935C">
            <w:pPr>
              <w:jc w:val="center"/>
              <w:rPr>
                <w:rFonts w:hint="default" w:asciiTheme="minorEastAsia" w:hAnsiTheme="minorEastAsia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  <w:lang w:val="en-US" w:eastAsia="zh-CN"/>
              </w:rPr>
              <w:t>¥   元（小写），人民币    元（大写）</w:t>
            </w:r>
          </w:p>
        </w:tc>
      </w:tr>
      <w:tr w14:paraId="7B4F7B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2782" w:type="dxa"/>
            <w:gridSpan w:val="2"/>
            <w:vMerge w:val="restart"/>
            <w:vAlign w:val="center"/>
          </w:tcPr>
          <w:p w14:paraId="5A5B7A81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sz w:val="28"/>
                <w:szCs w:val="28"/>
              </w:rPr>
              <w:t>备注</w:t>
            </w:r>
          </w:p>
        </w:tc>
        <w:tc>
          <w:tcPr>
            <w:tcW w:w="11925" w:type="dxa"/>
            <w:gridSpan w:val="6"/>
          </w:tcPr>
          <w:p w14:paraId="24A85136">
            <w:pPr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1.交货期限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：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收到招标人下单通知后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7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个工作日内交货；</w:t>
            </w:r>
          </w:p>
        </w:tc>
      </w:tr>
      <w:tr w14:paraId="436D07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2782" w:type="dxa"/>
            <w:gridSpan w:val="2"/>
            <w:vMerge w:val="continue"/>
            <w:vAlign w:val="center"/>
          </w:tcPr>
          <w:p w14:paraId="74EE76DB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1925" w:type="dxa"/>
            <w:gridSpan w:val="6"/>
          </w:tcPr>
          <w:p w14:paraId="1913E53D">
            <w:pPr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2.交货方式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：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中标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人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根据招标人下单通知分批次供货；</w:t>
            </w:r>
          </w:p>
        </w:tc>
      </w:tr>
      <w:tr w14:paraId="6A7401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2782" w:type="dxa"/>
            <w:gridSpan w:val="2"/>
            <w:vMerge w:val="continue"/>
            <w:vAlign w:val="center"/>
          </w:tcPr>
          <w:p w14:paraId="6FCB58C9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1925" w:type="dxa"/>
            <w:gridSpan w:val="6"/>
          </w:tcPr>
          <w:p w14:paraId="613C0E4D">
            <w:pPr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3.交货地点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：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招标人指定位置。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（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招标人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各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分公司设在新安、西乡、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val="en-US" w:eastAsia="zh-CN" w:bidi="ar"/>
              </w:rPr>
              <w:t>石岩、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航城、福永、福海、沙井、新桥、松岗、燕罗等地。根据实际需要，下单货物需直接送到各需求单位办公地点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）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；</w:t>
            </w:r>
          </w:p>
        </w:tc>
      </w:tr>
      <w:tr w14:paraId="750893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2782" w:type="dxa"/>
            <w:gridSpan w:val="2"/>
            <w:vMerge w:val="continue"/>
            <w:vAlign w:val="center"/>
          </w:tcPr>
          <w:p w14:paraId="3EA734FB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1925" w:type="dxa"/>
            <w:gridSpan w:val="6"/>
          </w:tcPr>
          <w:p w14:paraId="04FAFE27">
            <w:pPr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4.报价有效期为90天；</w:t>
            </w:r>
          </w:p>
        </w:tc>
      </w:tr>
      <w:tr w14:paraId="4BEBB1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2782" w:type="dxa"/>
            <w:gridSpan w:val="2"/>
            <w:vMerge w:val="continue"/>
            <w:vAlign w:val="center"/>
          </w:tcPr>
          <w:p w14:paraId="21D4EF72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1925" w:type="dxa"/>
            <w:gridSpan w:val="6"/>
          </w:tcPr>
          <w:p w14:paraId="4E28EAD4">
            <w:pPr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5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.其他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：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中标人须承担设备装卸、运输等职责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eastAsia="zh-CN" w:bidi="ar"/>
              </w:rPr>
              <w:t>；</w:t>
            </w:r>
          </w:p>
        </w:tc>
      </w:tr>
      <w:tr w14:paraId="33D5C9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2782" w:type="dxa"/>
            <w:gridSpan w:val="2"/>
            <w:vMerge w:val="continue"/>
            <w:vAlign w:val="center"/>
          </w:tcPr>
          <w:p w14:paraId="1FABC31C">
            <w:pPr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  <w:tc>
          <w:tcPr>
            <w:tcW w:w="11925" w:type="dxa"/>
            <w:gridSpan w:val="6"/>
          </w:tcPr>
          <w:p w14:paraId="4DC02C48">
            <w:pPr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6.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28"/>
                <w:szCs w:val="28"/>
                <w:lang w:bidi="ar"/>
              </w:rPr>
              <w:t>报价精确到元，报价单请附上营业执照、联系人及联系方式。</w:t>
            </w:r>
          </w:p>
        </w:tc>
      </w:tr>
    </w:tbl>
    <w:p w14:paraId="368B9588">
      <w:pPr>
        <w:widowControl/>
        <w:jc w:val="right"/>
        <w:rPr>
          <w:rFonts w:hint="eastAsia" w:asciiTheme="minorEastAsia" w:hAnsiTheme="minorEastAsia" w:eastAsiaTheme="minorEastAsia"/>
          <w:sz w:val="24"/>
        </w:rPr>
      </w:pPr>
    </w:p>
    <w:p w14:paraId="0BD5491E">
      <w:pPr>
        <w:widowControl/>
        <w:jc w:val="right"/>
        <w:rPr>
          <w:rFonts w:hint="eastAsia" w:asciiTheme="minorEastAsia" w:hAnsiTheme="minorEastAsia" w:eastAsiaTheme="minorEastAsia"/>
          <w:sz w:val="24"/>
        </w:rPr>
      </w:pPr>
    </w:p>
    <w:p w14:paraId="28BC4640">
      <w:pPr>
        <w:wordWrap w:val="0"/>
        <w:jc w:val="right"/>
        <w:rPr>
          <w:rFonts w:hint="default"/>
          <w:b w:val="0"/>
          <w:bCs w:val="0"/>
          <w:sz w:val="28"/>
          <w:szCs w:val="36"/>
          <w:lang w:val="en-US" w:eastAsia="zh-CN"/>
        </w:rPr>
      </w:pPr>
      <w:r>
        <w:rPr>
          <w:rFonts w:hint="eastAsia"/>
          <w:b w:val="0"/>
          <w:bCs w:val="0"/>
          <w:sz w:val="28"/>
          <w:szCs w:val="36"/>
          <w:lang w:val="en-US" w:eastAsia="zh-CN"/>
        </w:rPr>
        <w:t>报价单位（盖章）：</w:t>
      </w:r>
      <w:r>
        <w:rPr>
          <w:rFonts w:hint="default"/>
          <w:b w:val="0"/>
          <w:bCs w:val="0"/>
          <w:sz w:val="28"/>
          <w:szCs w:val="36"/>
          <w:lang w:val="en-US" w:eastAsia="zh-CN"/>
        </w:rPr>
        <w:t>__________________</w:t>
      </w:r>
    </w:p>
    <w:p w14:paraId="1FEF364B">
      <w:pPr>
        <w:ind w:firstLine="420" w:firstLineChars="0"/>
        <w:jc w:val="right"/>
        <w:rPr>
          <w:rFonts w:asciiTheme="minorEastAsia" w:hAnsiTheme="minorEastAsia" w:eastAsiaTheme="minorEastAsia"/>
          <w:sz w:val="24"/>
        </w:rPr>
      </w:pPr>
      <w:r>
        <w:rPr>
          <w:rFonts w:hint="eastAsia"/>
          <w:b w:val="0"/>
          <w:bCs w:val="0"/>
          <w:sz w:val="28"/>
          <w:szCs w:val="36"/>
          <w:lang w:val="en-US" w:eastAsia="zh-CN"/>
        </w:rPr>
        <w:t>报价时间：2025年    月    日</w:t>
      </w:r>
    </w:p>
    <w:p w14:paraId="5BC89E04">
      <w:pPr>
        <w:rPr>
          <w:rFonts w:asciiTheme="minorEastAsia" w:hAnsiTheme="minorEastAsia" w:eastAsiaTheme="minorEastAsia"/>
          <w:sz w:val="24"/>
        </w:rPr>
      </w:pPr>
    </w:p>
    <w:p w14:paraId="1CBEFD05">
      <w:pPr>
        <w:rPr>
          <w:rFonts w:asciiTheme="minorEastAsia" w:hAnsiTheme="minorEastAsia" w:eastAsiaTheme="minorEastAsia"/>
          <w:sz w:val="24"/>
        </w:rPr>
      </w:pPr>
    </w:p>
    <w:p w14:paraId="1EC3A0A9">
      <w:pPr>
        <w:pStyle w:val="3"/>
        <w:spacing w:after="78" w:line="240" w:lineRule="auto"/>
        <w:ind w:left="0" w:leftChars="0" w:firstLine="0" w:firstLineChars="0"/>
        <w:jc w:val="left"/>
        <w:rPr>
          <w:rFonts w:asciiTheme="minorEastAsia" w:hAnsiTheme="minorEastAsia" w:cstheme="majorEastAsia"/>
          <w:b/>
          <w:bCs/>
          <w:sz w:val="28"/>
          <w:szCs w:val="28"/>
        </w:rPr>
      </w:pPr>
      <w:r>
        <w:rPr>
          <w:rFonts w:hint="eastAsia" w:asciiTheme="minorEastAsia" w:hAnsiTheme="minorEastAsia" w:cstheme="majorEastAsia"/>
          <w:b/>
          <w:bCs/>
          <w:sz w:val="28"/>
          <w:szCs w:val="28"/>
        </w:rPr>
        <w:t>特别说明：</w:t>
      </w:r>
    </w:p>
    <w:p w14:paraId="5D934D29">
      <w:pPr>
        <w:pStyle w:val="3"/>
        <w:spacing w:after="78" w:line="240" w:lineRule="auto"/>
        <w:ind w:left="0" w:leftChars="0" w:firstLine="480"/>
        <w:jc w:val="left"/>
        <w:rPr>
          <w:rFonts w:hint="eastAsia" w:ascii="Times New Roman" w:hAnsi="Times New Roman" w:eastAsia="宋体" w:cs="Times New Roman"/>
          <w:b w:val="0"/>
          <w:bCs w:val="0"/>
          <w:kern w:val="2"/>
          <w:sz w:val="28"/>
          <w:szCs w:val="36"/>
          <w:lang w:val="en-US" w:eastAsia="zh-CN" w:bidi="ar-SA"/>
        </w:rPr>
      </w:pPr>
      <w:r>
        <w:rPr>
          <w:rFonts w:hint="eastAsia" w:ascii="Times New Roman" w:hAnsi="Times New Roman" w:eastAsia="宋体" w:cs="Times New Roman"/>
          <w:b w:val="0"/>
          <w:bCs w:val="0"/>
          <w:kern w:val="2"/>
          <w:sz w:val="28"/>
          <w:szCs w:val="36"/>
          <w:lang w:val="en-US" w:eastAsia="zh-CN" w:bidi="ar-SA"/>
        </w:rPr>
        <w:t>1、本报价包含货物送达招标人指定地点（深圳市宝安排水有限公司十家分公司设在宝安区各个街道。根据实际需要，下单货物直接送至分公司办公地点，如在合同履行期间，招标人有新的分公司在宝安区内成立，中标人也需按合同规定为新成立的分公司提供服务，且价格不变）的物流费用，并包含经采购人验收合格所可能发生的费用和售后服务费用，包括但不限于全新合格货物、运输、售后服务、相关税费以及相关规定须交纳的其它费用等，货币形式为人民币；</w:t>
      </w:r>
    </w:p>
    <w:p w14:paraId="11EAB445">
      <w:pPr>
        <w:pStyle w:val="3"/>
        <w:spacing w:after="78" w:line="240" w:lineRule="auto"/>
        <w:ind w:left="0" w:leftChars="0" w:firstLine="480"/>
        <w:jc w:val="left"/>
        <w:rPr>
          <w:rFonts w:hint="eastAsia" w:ascii="Times New Roman" w:hAnsi="Times New Roman" w:eastAsia="宋体" w:cs="Times New Roman"/>
          <w:b w:val="0"/>
          <w:bCs w:val="0"/>
          <w:kern w:val="2"/>
          <w:sz w:val="28"/>
          <w:szCs w:val="36"/>
          <w:lang w:val="en-US" w:eastAsia="zh-CN" w:bidi="ar-SA"/>
        </w:rPr>
      </w:pPr>
      <w:r>
        <w:rPr>
          <w:rFonts w:hint="eastAsia" w:ascii="Times New Roman" w:hAnsi="Times New Roman" w:eastAsia="宋体" w:cs="Times New Roman"/>
          <w:b w:val="0"/>
          <w:bCs w:val="0"/>
          <w:kern w:val="2"/>
          <w:sz w:val="28"/>
          <w:szCs w:val="36"/>
          <w:lang w:val="en-US" w:eastAsia="zh-CN" w:bidi="ar-SA"/>
        </w:rPr>
        <w:t>2、询价回函须加盖公章；</w:t>
      </w:r>
    </w:p>
    <w:p w14:paraId="6799B7FF">
      <w:pPr>
        <w:pStyle w:val="3"/>
        <w:spacing w:after="78" w:line="240" w:lineRule="auto"/>
        <w:ind w:left="0" w:leftChars="0" w:firstLine="480"/>
        <w:jc w:val="left"/>
        <w:rPr>
          <w:rFonts w:hint="eastAsia" w:ascii="Times New Roman" w:hAnsi="Times New Roman" w:eastAsia="宋体" w:cs="Times New Roman"/>
          <w:b w:val="0"/>
          <w:bCs w:val="0"/>
          <w:kern w:val="2"/>
          <w:sz w:val="28"/>
          <w:szCs w:val="36"/>
          <w:lang w:val="en-US" w:eastAsia="zh-CN" w:bidi="ar-SA"/>
        </w:rPr>
      </w:pPr>
      <w:r>
        <w:rPr>
          <w:rFonts w:hint="eastAsia" w:ascii="Times New Roman" w:hAnsi="Times New Roman" w:eastAsia="宋体" w:cs="Times New Roman"/>
          <w:b w:val="0"/>
          <w:bCs w:val="0"/>
          <w:kern w:val="2"/>
          <w:sz w:val="28"/>
          <w:szCs w:val="36"/>
          <w:lang w:val="en-US" w:eastAsia="zh-CN" w:bidi="ar-SA"/>
        </w:rPr>
        <w:t>3、潜在竞标人（报价供应商）本次报价不作为本项目的最终报价，最终报价以后续竞标时竞标人递交的正式竞标文件为准；</w:t>
      </w:r>
    </w:p>
    <w:p w14:paraId="6A756E06">
      <w:pPr>
        <w:pStyle w:val="3"/>
        <w:spacing w:after="78" w:line="240" w:lineRule="auto"/>
        <w:ind w:left="0" w:leftChars="0" w:firstLine="480"/>
        <w:jc w:val="left"/>
        <w:rPr>
          <w:rFonts w:hint="eastAsia" w:ascii="Times New Roman" w:hAnsi="Times New Roman" w:eastAsia="宋体" w:cs="Times New Roman"/>
          <w:b w:val="0"/>
          <w:bCs w:val="0"/>
          <w:kern w:val="2"/>
          <w:sz w:val="28"/>
          <w:szCs w:val="36"/>
          <w:lang w:val="en-US" w:eastAsia="zh-CN" w:bidi="ar-SA"/>
        </w:rPr>
      </w:pPr>
      <w:r>
        <w:rPr>
          <w:rFonts w:hint="eastAsia" w:ascii="Times New Roman" w:hAnsi="Times New Roman" w:eastAsia="宋体" w:cs="Times New Roman"/>
          <w:b w:val="0"/>
          <w:bCs w:val="0"/>
          <w:kern w:val="2"/>
          <w:sz w:val="28"/>
          <w:szCs w:val="36"/>
          <w:lang w:val="en-US" w:eastAsia="zh-CN" w:bidi="ar-SA"/>
        </w:rPr>
        <w:t>4、货物质保期按国家规定或厂家标准执行，以质保时间长的为准；</w:t>
      </w:r>
    </w:p>
    <w:p w14:paraId="04639F6A">
      <w:pPr>
        <w:widowControl/>
        <w:ind w:firstLine="560" w:firstLineChars="200"/>
        <w:jc w:val="left"/>
        <w:rPr>
          <w:rFonts w:asciiTheme="minorEastAsia" w:hAnsiTheme="minorEastAsia" w:eastAsiaTheme="minorEastAsia"/>
          <w:b/>
          <w:sz w:val="24"/>
        </w:rPr>
      </w:pPr>
      <w:r>
        <w:rPr>
          <w:rFonts w:hint="eastAsia" w:ascii="Times New Roman" w:hAnsi="Times New Roman" w:eastAsia="宋体" w:cs="Times New Roman"/>
          <w:b w:val="0"/>
          <w:bCs w:val="0"/>
          <w:kern w:val="2"/>
          <w:sz w:val="28"/>
          <w:szCs w:val="36"/>
          <w:lang w:val="en-US" w:eastAsia="zh-CN" w:bidi="ar-SA"/>
        </w:rPr>
        <w:t>5、采购合同签订并生效后，按供货批次进行结算，凭中标人开具的增值税专用发票，一次性支付该批次货款。</w:t>
      </w:r>
    </w:p>
    <w:p w14:paraId="01E7E3A7">
      <w:pPr>
        <w:sectPr>
          <w:pgSz w:w="16838" w:h="11906" w:orient="landscape"/>
          <w:pgMar w:top="1134" w:right="1440" w:bottom="1134" w:left="1440" w:header="851" w:footer="992" w:gutter="0"/>
          <w:cols w:space="425" w:num="1"/>
          <w:docGrid w:type="lines" w:linePitch="312" w:charSpace="0"/>
        </w:sectPr>
      </w:pPr>
    </w:p>
    <w:p w14:paraId="02C240E1">
      <w:pPr>
        <w:jc w:val="center"/>
        <w:rPr>
          <w:rFonts w:hint="eastAsia"/>
          <w:b/>
          <w:bCs/>
          <w:sz w:val="40"/>
          <w:szCs w:val="48"/>
          <w:lang w:val="en-US" w:eastAsia="zh-CN"/>
        </w:rPr>
      </w:pPr>
      <w:r>
        <w:rPr>
          <w:rFonts w:hint="eastAsia"/>
          <w:b/>
          <w:bCs/>
          <w:sz w:val="40"/>
          <w:szCs w:val="48"/>
          <w:lang w:val="en-US" w:eastAsia="zh-CN"/>
        </w:rPr>
        <w:t>营业执照</w:t>
      </w:r>
    </w:p>
    <w:p w14:paraId="3D2CA7E9">
      <w:pPr>
        <w:rPr>
          <w:rFonts w:hint="eastAsia"/>
          <w:b/>
          <w:bCs/>
          <w:sz w:val="40"/>
          <w:szCs w:val="48"/>
          <w:lang w:val="en-US" w:eastAsia="zh-CN"/>
        </w:rPr>
      </w:pPr>
    </w:p>
    <w:p w14:paraId="3F71A3A0">
      <w:pPr>
        <w:jc w:val="both"/>
        <w:rPr>
          <w:rFonts w:hint="eastAsia"/>
          <w:b/>
          <w:bCs/>
          <w:sz w:val="40"/>
          <w:szCs w:val="48"/>
          <w:lang w:val="en-US" w:eastAsia="zh-CN"/>
        </w:rPr>
      </w:pPr>
    </w:p>
    <w:p w14:paraId="161CFCAC">
      <w:pPr>
        <w:jc w:val="center"/>
        <w:rPr>
          <w:rFonts w:hint="eastAsia"/>
          <w:b/>
          <w:bCs/>
          <w:sz w:val="40"/>
          <w:szCs w:val="48"/>
          <w:lang w:val="en-US" w:eastAsia="zh-CN"/>
        </w:rPr>
      </w:pPr>
    </w:p>
    <w:p w14:paraId="2E061D2E">
      <w:pPr>
        <w:rPr>
          <w:rFonts w:hint="eastAsia"/>
          <w:b/>
          <w:bCs/>
          <w:sz w:val="40"/>
          <w:szCs w:val="48"/>
          <w:lang w:val="en-US" w:eastAsia="zh-CN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 w14:paraId="0DFC7DD2">
      <w:pPr>
        <w:jc w:val="center"/>
        <w:rPr>
          <w:rFonts w:hint="eastAsia"/>
          <w:b/>
          <w:bCs/>
          <w:sz w:val="40"/>
          <w:szCs w:val="48"/>
          <w:lang w:val="en-US" w:eastAsia="zh-CN"/>
        </w:rPr>
      </w:pPr>
      <w:r>
        <w:rPr>
          <w:rFonts w:hint="eastAsia"/>
          <w:b/>
          <w:bCs/>
          <w:sz w:val="40"/>
          <w:szCs w:val="48"/>
          <w:lang w:val="en-US" w:eastAsia="zh-CN"/>
        </w:rPr>
        <w:t>近三年无重大违法经营记录声明函</w:t>
      </w:r>
    </w:p>
    <w:p w14:paraId="12EFE32C">
      <w:pPr>
        <w:jc w:val="center"/>
        <w:rPr>
          <w:rFonts w:hint="eastAsia"/>
          <w:b/>
          <w:bCs/>
          <w:sz w:val="40"/>
          <w:szCs w:val="48"/>
          <w:lang w:val="en-US" w:eastAsia="zh-CN"/>
        </w:rPr>
      </w:pPr>
    </w:p>
    <w:p w14:paraId="71B82FA0">
      <w:pPr>
        <w:jc w:val="both"/>
        <w:rPr>
          <w:rFonts w:hint="default"/>
          <w:b w:val="0"/>
          <w:bCs w:val="0"/>
          <w:sz w:val="28"/>
          <w:szCs w:val="36"/>
          <w:lang w:val="en-US" w:eastAsia="zh-CN"/>
        </w:rPr>
      </w:pPr>
      <w:r>
        <w:rPr>
          <w:rFonts w:hint="default"/>
          <w:b w:val="0"/>
          <w:bCs w:val="0"/>
          <w:sz w:val="28"/>
          <w:szCs w:val="36"/>
          <w:lang w:val="en-US" w:eastAsia="zh-CN"/>
        </w:rPr>
        <w:t>致：深圳市宝安排水有限公司</w:t>
      </w:r>
    </w:p>
    <w:p w14:paraId="77A0AFAC">
      <w:pPr>
        <w:ind w:firstLine="420" w:firstLineChars="0"/>
        <w:jc w:val="both"/>
        <w:rPr>
          <w:rFonts w:hint="default"/>
          <w:b w:val="0"/>
          <w:bCs w:val="0"/>
          <w:sz w:val="28"/>
          <w:szCs w:val="36"/>
          <w:lang w:val="en-US" w:eastAsia="zh-CN"/>
        </w:rPr>
      </w:pPr>
      <w:r>
        <w:rPr>
          <w:rFonts w:hint="default"/>
          <w:b w:val="0"/>
          <w:bCs w:val="0"/>
          <w:sz w:val="28"/>
          <w:szCs w:val="36"/>
          <w:lang w:val="en-US" w:eastAsia="zh-CN"/>
        </w:rPr>
        <w:t>关于贵方2025年</w:t>
      </w:r>
      <w:r>
        <w:rPr>
          <w:rFonts w:hint="eastAsia"/>
          <w:b w:val="0"/>
          <w:bCs w:val="0"/>
          <w:sz w:val="28"/>
          <w:szCs w:val="36"/>
          <w:u w:val="single"/>
          <w:lang w:val="en-US" w:eastAsia="zh-CN"/>
        </w:rPr>
        <w:t>6</w:t>
      </w:r>
      <w:r>
        <w:rPr>
          <w:rFonts w:hint="default"/>
          <w:b w:val="0"/>
          <w:bCs w:val="0"/>
          <w:sz w:val="28"/>
          <w:szCs w:val="36"/>
          <w:lang w:val="en-US" w:eastAsia="zh-CN"/>
        </w:rPr>
        <w:t>月</w:t>
      </w:r>
      <w:r>
        <w:rPr>
          <w:rFonts w:hint="eastAsia"/>
          <w:b w:val="0"/>
          <w:bCs w:val="0"/>
          <w:sz w:val="28"/>
          <w:szCs w:val="36"/>
          <w:u w:val="single"/>
          <w:lang w:val="en-US" w:eastAsia="zh-CN"/>
        </w:rPr>
        <w:t>25</w:t>
      </w:r>
      <w:r>
        <w:rPr>
          <w:rFonts w:hint="default"/>
          <w:b w:val="0"/>
          <w:bCs w:val="0"/>
          <w:sz w:val="28"/>
          <w:szCs w:val="36"/>
          <w:lang w:val="en-US" w:eastAsia="zh-CN"/>
        </w:rPr>
        <w:t>日（</w:t>
      </w:r>
      <w:r>
        <w:rPr>
          <w:rFonts w:hint="eastAsia"/>
          <w:b w:val="0"/>
          <w:bCs w:val="0"/>
          <w:sz w:val="28"/>
          <w:szCs w:val="36"/>
          <w:lang w:val="en-US" w:eastAsia="zh-CN"/>
        </w:rPr>
        <w:t>询价</w:t>
      </w:r>
      <w:r>
        <w:rPr>
          <w:rFonts w:hint="default"/>
          <w:b w:val="0"/>
          <w:bCs w:val="0"/>
          <w:sz w:val="28"/>
          <w:szCs w:val="36"/>
          <w:lang w:val="en-US" w:eastAsia="zh-CN"/>
        </w:rPr>
        <w:t>公告时间）</w:t>
      </w:r>
      <w:r>
        <w:rPr>
          <w:rFonts w:hint="eastAsia"/>
          <w:b w:val="0"/>
          <w:bCs w:val="0"/>
          <w:sz w:val="28"/>
          <w:szCs w:val="36"/>
          <w:lang w:val="en-US" w:eastAsia="zh-CN"/>
        </w:rPr>
        <w:t>发布的</w:t>
      </w:r>
      <w:r>
        <w:rPr>
          <w:rFonts w:hint="eastAsia"/>
          <w:b w:val="0"/>
          <w:bCs w:val="0"/>
          <w:sz w:val="28"/>
          <w:szCs w:val="36"/>
          <w:u w:val="single"/>
          <w:lang w:val="en-US" w:eastAsia="zh-CN"/>
        </w:rPr>
        <w:t xml:space="preserve"> 深圳市宝安排水有限公司2025-2026年度砂子、石子及红砖供应商采购项目 </w:t>
      </w:r>
      <w:r>
        <w:rPr>
          <w:rFonts w:hint="default"/>
          <w:b w:val="0"/>
          <w:bCs w:val="0"/>
          <w:sz w:val="28"/>
          <w:szCs w:val="36"/>
          <w:lang w:val="en-US" w:eastAsia="zh-CN"/>
        </w:rPr>
        <w:t>（项目</w:t>
      </w:r>
      <w:r>
        <w:rPr>
          <w:rFonts w:hint="eastAsia"/>
          <w:b w:val="0"/>
          <w:bCs w:val="0"/>
          <w:sz w:val="28"/>
          <w:szCs w:val="36"/>
          <w:lang w:val="en-US" w:eastAsia="zh-CN"/>
        </w:rPr>
        <w:t>名称</w:t>
      </w:r>
      <w:r>
        <w:rPr>
          <w:rFonts w:hint="default"/>
          <w:b w:val="0"/>
          <w:bCs w:val="0"/>
          <w:sz w:val="28"/>
          <w:szCs w:val="36"/>
          <w:lang w:val="en-US" w:eastAsia="zh-CN"/>
        </w:rPr>
        <w:t>）的</w:t>
      </w:r>
      <w:r>
        <w:rPr>
          <w:rFonts w:hint="eastAsia"/>
          <w:b w:val="0"/>
          <w:bCs w:val="0"/>
          <w:sz w:val="28"/>
          <w:szCs w:val="36"/>
          <w:lang w:val="en-US" w:eastAsia="zh-CN"/>
        </w:rPr>
        <w:t>询价</w:t>
      </w:r>
      <w:r>
        <w:rPr>
          <w:rFonts w:hint="default"/>
          <w:b w:val="0"/>
          <w:bCs w:val="0"/>
          <w:sz w:val="28"/>
          <w:szCs w:val="36"/>
          <w:lang w:val="en-US" w:eastAsia="zh-CN"/>
        </w:rPr>
        <w:t>邀请，我公司愿意参加</w:t>
      </w:r>
      <w:r>
        <w:rPr>
          <w:rFonts w:hint="eastAsia"/>
          <w:b w:val="0"/>
          <w:bCs w:val="0"/>
          <w:sz w:val="28"/>
          <w:szCs w:val="36"/>
          <w:lang w:val="en-US" w:eastAsia="zh-CN"/>
        </w:rPr>
        <w:t>报价</w:t>
      </w:r>
      <w:r>
        <w:rPr>
          <w:rFonts w:hint="default"/>
          <w:b w:val="0"/>
          <w:bCs w:val="0"/>
          <w:sz w:val="28"/>
          <w:szCs w:val="36"/>
          <w:lang w:val="en-US" w:eastAsia="zh-CN"/>
        </w:rPr>
        <w:t>，并声明我公司参加本次</w:t>
      </w:r>
      <w:r>
        <w:rPr>
          <w:rFonts w:hint="eastAsia"/>
          <w:b w:val="0"/>
          <w:bCs w:val="0"/>
          <w:sz w:val="28"/>
          <w:szCs w:val="36"/>
          <w:lang w:val="en-US" w:eastAsia="zh-CN"/>
        </w:rPr>
        <w:t>询价活动</w:t>
      </w:r>
      <w:r>
        <w:rPr>
          <w:rFonts w:hint="default"/>
          <w:b w:val="0"/>
          <w:bCs w:val="0"/>
          <w:sz w:val="28"/>
          <w:szCs w:val="36"/>
          <w:lang w:val="en-US" w:eastAsia="zh-CN"/>
        </w:rPr>
        <w:t>前3年内在经营活动中没有重大违法记录，不存在被有关部门禁止参与政府采购活动且在有效期内的情况，也不存在因涉嫌串通</w:t>
      </w:r>
      <w:r>
        <w:rPr>
          <w:rFonts w:hint="eastAsia"/>
          <w:b w:val="0"/>
          <w:bCs w:val="0"/>
          <w:sz w:val="28"/>
          <w:szCs w:val="36"/>
          <w:lang w:val="en-US" w:eastAsia="zh-CN"/>
        </w:rPr>
        <w:t>竞标</w:t>
      </w:r>
      <w:r>
        <w:rPr>
          <w:rFonts w:hint="default"/>
          <w:b w:val="0"/>
          <w:bCs w:val="0"/>
          <w:sz w:val="28"/>
          <w:szCs w:val="36"/>
          <w:lang w:val="en-US" w:eastAsia="zh-CN"/>
        </w:rPr>
        <w:t>等正在接受主管部门调查的情况。</w:t>
      </w:r>
    </w:p>
    <w:p w14:paraId="0B426275">
      <w:pPr>
        <w:jc w:val="center"/>
        <w:rPr>
          <w:rFonts w:hint="default"/>
          <w:b w:val="0"/>
          <w:bCs w:val="0"/>
          <w:sz w:val="28"/>
          <w:szCs w:val="36"/>
          <w:lang w:val="en-US" w:eastAsia="zh-CN"/>
        </w:rPr>
      </w:pPr>
      <w:r>
        <w:rPr>
          <w:rFonts w:hint="default"/>
          <w:b w:val="0"/>
          <w:bCs w:val="0"/>
          <w:sz w:val="28"/>
          <w:szCs w:val="36"/>
          <w:lang w:val="en-US" w:eastAsia="zh-CN"/>
        </w:rPr>
        <w:t>如我公司作出虚假声明，将承担由此引发的全部责任。</w:t>
      </w:r>
    </w:p>
    <w:p w14:paraId="0AF7EA50">
      <w:pPr>
        <w:jc w:val="center"/>
        <w:rPr>
          <w:rFonts w:hint="default"/>
          <w:b w:val="0"/>
          <w:bCs w:val="0"/>
          <w:sz w:val="28"/>
          <w:szCs w:val="36"/>
          <w:lang w:val="en-US" w:eastAsia="zh-CN"/>
        </w:rPr>
      </w:pPr>
    </w:p>
    <w:p w14:paraId="16A90C65">
      <w:pPr>
        <w:wordWrap w:val="0"/>
        <w:jc w:val="right"/>
        <w:rPr>
          <w:rFonts w:hint="default"/>
          <w:b w:val="0"/>
          <w:bCs w:val="0"/>
          <w:sz w:val="28"/>
          <w:szCs w:val="36"/>
          <w:lang w:val="en-US" w:eastAsia="zh-CN"/>
        </w:rPr>
      </w:pPr>
      <w:r>
        <w:rPr>
          <w:rFonts w:hint="eastAsia"/>
          <w:b w:val="0"/>
          <w:bCs w:val="0"/>
          <w:sz w:val="28"/>
          <w:szCs w:val="36"/>
          <w:lang w:val="en-US" w:eastAsia="zh-CN"/>
        </w:rPr>
        <w:t>报价单位</w:t>
      </w:r>
      <w:r>
        <w:rPr>
          <w:rFonts w:hint="default"/>
          <w:b w:val="0"/>
          <w:bCs w:val="0"/>
          <w:sz w:val="28"/>
          <w:szCs w:val="36"/>
          <w:lang w:val="en-US" w:eastAsia="zh-CN"/>
        </w:rPr>
        <w:t>名称（盖章）：___________________</w:t>
      </w:r>
    </w:p>
    <w:p w14:paraId="416C8B5F">
      <w:pPr>
        <w:jc w:val="right"/>
        <w:rPr>
          <w:rFonts w:hint="default"/>
          <w:b w:val="0"/>
          <w:bCs w:val="0"/>
          <w:sz w:val="28"/>
          <w:szCs w:val="36"/>
          <w:lang w:val="en-US" w:eastAsia="zh-CN"/>
        </w:rPr>
      </w:pPr>
      <w:r>
        <w:rPr>
          <w:rFonts w:hint="default"/>
          <w:b w:val="0"/>
          <w:bCs w:val="0"/>
          <w:sz w:val="28"/>
          <w:szCs w:val="36"/>
          <w:lang w:val="en-US" w:eastAsia="zh-CN"/>
        </w:rPr>
        <w:t>日  期：___________________</w:t>
      </w:r>
    </w:p>
    <w:p w14:paraId="12F618A8">
      <w:pPr>
        <w:jc w:val="center"/>
        <w:rPr>
          <w:rFonts w:hint="default"/>
          <w:b w:val="0"/>
          <w:bCs w:val="0"/>
          <w:sz w:val="28"/>
          <w:szCs w:val="36"/>
          <w:lang w:val="en-US" w:eastAsia="zh-CN"/>
        </w:rPr>
      </w:pPr>
    </w:p>
    <w:p w14:paraId="653DC576">
      <w:pPr>
        <w:jc w:val="left"/>
        <w:rPr>
          <w:rFonts w:hint="default"/>
          <w:b w:val="0"/>
          <w:bCs w:val="0"/>
          <w:sz w:val="28"/>
          <w:szCs w:val="36"/>
          <w:lang w:val="en-US" w:eastAsia="zh-CN"/>
        </w:rPr>
      </w:pPr>
      <w:r>
        <w:rPr>
          <w:rFonts w:hint="default"/>
          <w:b w:val="0"/>
          <w:bCs w:val="0"/>
          <w:sz w:val="28"/>
          <w:szCs w:val="36"/>
          <w:lang w:val="en-US" w:eastAsia="zh-CN"/>
        </w:rPr>
        <w:t>注：根据《中华人民共和国政府采购法实施条例》第十九条规定：政府采购法第二十二条第一款第五项所称重大违法记录，是指供应商因违法经营受到刑事处罚或者责令停产停业、吊销许可证或者执照、较大数额罚款等行政处罚。</w:t>
      </w:r>
    </w:p>
    <w:p w14:paraId="7E1E6D6E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E24991"/>
    <w:rsid w:val="74E24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semiHidden/>
    <w:unhideWhenUsed/>
    <w:qFormat/>
    <w:uiPriority w:val="99"/>
    <w:pPr>
      <w:spacing w:after="120"/>
      <w:ind w:left="420" w:leftChars="200"/>
    </w:pPr>
  </w:style>
  <w:style w:type="paragraph" w:styleId="3">
    <w:name w:val="Body Text First Indent 2"/>
    <w:basedOn w:val="2"/>
    <w:unhideWhenUsed/>
    <w:qFormat/>
    <w:uiPriority w:val="99"/>
    <w:pPr>
      <w:spacing w:afterLines="25" w:line="300" w:lineRule="auto"/>
      <w:ind w:firstLine="420" w:firstLineChars="200"/>
    </w:pPr>
    <w:rPr>
      <w:rFonts w:asciiTheme="minorHAnsi" w:hAnsiTheme="minorHAnsi" w:eastAsiaTheme="minorEastAsia" w:cstheme="minorBid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2025-06-25T07:55:00Z</dcterms:created>
  <dc:creator>毛</dc:creator>
  <cp:lastModifiedBy>毛</cp:lastModifiedBy>
  <dcterms:modified xsi:type="dcterms:W3CDTF">2025-06-25T07:56:04Z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5A03C36911FC419E9DB2C519F1CE3311_11</vt:lpwstr>
  </property>
  <property fmtid="{D5CDD505-2E9C-101B-9397-08002B2CF9AE}" pid="4" name="KSOTemplateDocerSaveRecord">
    <vt:lpwstr>eyJoZGlkIjoiZjZiNGRiYjllN2U0YzE1ZjI5ZGJmNTM0ZGJhZGE0MGQiLCJ1c2VySWQiOiI3MDI3MjY4OTcifQ==</vt:lpwstr>
  </property>
</Properties>
</file>