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83751">
      <w:pPr>
        <w:pStyle w:val="4"/>
        <w:spacing w:before="148" w:line="440" w:lineRule="exact"/>
        <w:ind w:left="0" w:firstLine="0"/>
        <w:jc w:val="center"/>
        <w:rPr>
          <w:rFonts w:ascii="Times New Roman" w:hAnsi="Times New Roman" w:cs="Times New Roman"/>
          <w:b/>
          <w:bCs/>
          <w:sz w:val="30"/>
          <w:szCs w:val="30"/>
          <w:lang w:val="en-US"/>
        </w:rPr>
      </w:pPr>
      <w:r>
        <w:rPr>
          <w:rFonts w:hint="eastAsia" w:ascii="Times New Roman" w:hAnsi="Times New Roman" w:cs="Times New Roman"/>
          <w:b/>
          <w:bCs/>
          <w:sz w:val="30"/>
          <w:szCs w:val="30"/>
          <w:lang w:val="en-US"/>
        </w:rPr>
        <w:t>附件1：新圳河（宝安大道至新湖路段）暗渠化河道盖板及挡墙变形监测</w:t>
      </w:r>
    </w:p>
    <w:p w14:paraId="427832B4">
      <w:pPr>
        <w:pStyle w:val="4"/>
        <w:spacing w:before="148" w:line="440" w:lineRule="exact"/>
        <w:ind w:left="0" w:firstLine="0"/>
        <w:jc w:val="center"/>
        <w:rPr>
          <w:rFonts w:ascii="Times New Roman" w:hAnsi="Times New Roman" w:cs="Times New Roman"/>
          <w:b/>
          <w:bCs/>
          <w:sz w:val="30"/>
          <w:szCs w:val="30"/>
          <w:lang w:val="en-US"/>
        </w:rPr>
      </w:pPr>
      <w:r>
        <w:rPr>
          <w:rFonts w:hint="eastAsia" w:ascii="Times New Roman" w:hAnsi="Times New Roman" w:cs="Times New Roman"/>
          <w:b/>
          <w:bCs/>
          <w:sz w:val="30"/>
          <w:szCs w:val="30"/>
          <w:lang w:val="en-US"/>
        </w:rPr>
        <w:t>项目</w:t>
      </w:r>
      <w:r>
        <w:rPr>
          <w:rFonts w:ascii="Times New Roman" w:hAnsi="Times New Roman" w:cs="Times New Roman"/>
          <w:b/>
          <w:bCs/>
          <w:sz w:val="30"/>
          <w:szCs w:val="30"/>
          <w:lang w:val="en-US"/>
        </w:rPr>
        <w:t>技术需求书</w:t>
      </w:r>
    </w:p>
    <w:p w14:paraId="183DF78A">
      <w:pPr>
        <w:pStyle w:val="2"/>
        <w:spacing w:before="480" w:line="360" w:lineRule="auto"/>
        <w:ind w:left="0"/>
        <w:jc w:val="both"/>
        <w:rPr>
          <w:rFonts w:ascii="Times New Roman" w:hAnsi="Times New Roman" w:cs="Times New Roman"/>
          <w:sz w:val="24"/>
          <w:szCs w:val="24"/>
        </w:rPr>
      </w:pPr>
      <w:r>
        <w:rPr>
          <w:rFonts w:ascii="Times New Roman" w:hAnsi="Times New Roman" w:cs="Times New Roman"/>
          <w:sz w:val="24"/>
          <w:szCs w:val="24"/>
        </w:rPr>
        <w:t>一、工作范围</w:t>
      </w:r>
    </w:p>
    <w:p w14:paraId="2816373D">
      <w:pPr>
        <w:pStyle w:val="4"/>
        <w:spacing w:line="360" w:lineRule="auto"/>
        <w:ind w:left="0" w:firstLine="720" w:firstLineChars="300"/>
        <w:jc w:val="both"/>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本项目的工作范围是新圳河宝安大道至新湖路段，凯旋城小区附近。</w:t>
      </w:r>
    </w:p>
    <w:p w14:paraId="7DD0F322">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720" w:firstLineChars="300"/>
        <w:jc w:val="both"/>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监测对象为该区域暗渠化河道盖板及挡墙。其中暗渠盖板段已经布设有沉降监测点。</w:t>
      </w:r>
    </w:p>
    <w:p w14:paraId="134EBD59">
      <w:pPr>
        <w:pStyle w:val="2"/>
        <w:keepNext w:val="0"/>
        <w:keepLines w:val="0"/>
        <w:pageBreakBefore w:val="0"/>
        <w:widowControl w:val="0"/>
        <w:kinsoku/>
        <w:wordWrap/>
        <w:overflowPunct/>
        <w:topLinePunct w:val="0"/>
        <w:autoSpaceDE w:val="0"/>
        <w:autoSpaceDN w:val="0"/>
        <w:bidi w:val="0"/>
        <w:adjustRightInd/>
        <w:snapToGrid/>
        <w:spacing w:before="480" w:line="360" w:lineRule="auto"/>
        <w:ind w:left="0"/>
        <w:jc w:val="both"/>
        <w:textAlignment w:val="auto"/>
        <w:rPr>
          <w:rFonts w:ascii="Times New Roman" w:hAnsi="Times New Roman" w:cs="Times New Roman"/>
          <w:sz w:val="24"/>
          <w:szCs w:val="24"/>
        </w:rPr>
      </w:pPr>
      <w:r>
        <w:rPr>
          <w:rFonts w:ascii="Times New Roman" w:hAnsi="Times New Roman" w:cs="Times New Roman"/>
          <w:sz w:val="24"/>
          <w:szCs w:val="24"/>
        </w:rPr>
        <w:t>二、</w:t>
      </w:r>
      <w:r>
        <w:rPr>
          <w:rFonts w:hint="eastAsia" w:ascii="Times New Roman" w:hAnsi="Times New Roman" w:cs="Times New Roman"/>
          <w:sz w:val="24"/>
          <w:szCs w:val="24"/>
        </w:rPr>
        <w:t>法律法规</w:t>
      </w:r>
      <w:r>
        <w:rPr>
          <w:rFonts w:ascii="Times New Roman" w:hAnsi="Times New Roman" w:cs="Times New Roman"/>
          <w:sz w:val="24"/>
          <w:szCs w:val="24"/>
        </w:rPr>
        <w:t>及标准</w:t>
      </w:r>
      <w:r>
        <w:rPr>
          <w:rFonts w:hint="eastAsia" w:ascii="Times New Roman" w:hAnsi="Times New Roman" w:cs="Times New Roman"/>
          <w:sz w:val="24"/>
          <w:szCs w:val="24"/>
        </w:rPr>
        <w:t>规范</w:t>
      </w:r>
    </w:p>
    <w:p w14:paraId="4EC2BFD8">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（1）《工程测量通用规范》（GB 55018-2021）；</w:t>
      </w:r>
    </w:p>
    <w:p w14:paraId="2046AA5F">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（2）《工程测量标准》（GB 50026-2020）；</w:t>
      </w:r>
    </w:p>
    <w:p w14:paraId="5202BD60">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（3）《建筑变形测量规范》（JGJ 8-2016）；</w:t>
      </w:r>
    </w:p>
    <w:p w14:paraId="4E27F4ED">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（4）《堤防工程安全监测技术规程》（SL/T 794-2020）；</w:t>
      </w:r>
    </w:p>
    <w:p w14:paraId="6DEBF4E6">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（5）《水利水电工程安全监测设计规范》（SL 725-2016）；</w:t>
      </w:r>
    </w:p>
    <w:p w14:paraId="101EFC5E">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（6）</w:t>
      </w:r>
      <w:r>
        <w:rPr>
          <w:rFonts w:hint="eastAsia"/>
          <w:sz w:val="24"/>
          <w:szCs w:val="24"/>
        </w:rPr>
        <w:t>《河道管养规范》（</w:t>
      </w:r>
      <w:r>
        <w:rPr>
          <w:rFonts w:ascii="Times New Roman" w:hAnsi="Times New Roman" w:cs="Times New Roman"/>
          <w:sz w:val="24"/>
          <w:szCs w:val="24"/>
        </w:rPr>
        <w:t>DB4403/T 633-2025）</w:t>
      </w:r>
      <w:r>
        <w:rPr>
          <w:rFonts w:hint="eastAsia" w:ascii="Times New Roman" w:hAnsi="Times New Roman" w:cs="Times New Roman"/>
          <w:sz w:val="24"/>
          <w:szCs w:val="24"/>
          <w:lang w:val="en-US"/>
        </w:rPr>
        <w:t>；</w:t>
      </w:r>
    </w:p>
    <w:p w14:paraId="0FC44957">
      <w:pPr>
        <w:pStyle w:val="6"/>
        <w:spacing w:line="360" w:lineRule="auto"/>
        <w:ind w:left="0" w:leftChars="0"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（7）</w:t>
      </w:r>
      <w:r>
        <w:rPr>
          <w:rFonts w:ascii="Times New Roman" w:hAnsi="Times New Roman" w:cs="Times New Roman"/>
          <w:sz w:val="24"/>
          <w:szCs w:val="24"/>
          <w:lang w:val="en-US"/>
        </w:rPr>
        <w:t>其他现行的有关法律、法规、</w:t>
      </w:r>
      <w:r>
        <w:rPr>
          <w:rFonts w:hint="eastAsia" w:ascii="Times New Roman" w:hAnsi="Times New Roman" w:cs="Times New Roman"/>
          <w:sz w:val="24"/>
          <w:szCs w:val="24"/>
          <w:lang w:val="en-US"/>
        </w:rPr>
        <w:t>标准规范</w:t>
      </w:r>
      <w:r>
        <w:rPr>
          <w:rFonts w:ascii="Times New Roman" w:hAnsi="Times New Roman" w:cs="Times New Roman"/>
          <w:sz w:val="24"/>
          <w:szCs w:val="24"/>
          <w:lang w:val="en-US"/>
        </w:rPr>
        <w:t>、办法等。</w:t>
      </w:r>
    </w:p>
    <w:p w14:paraId="783E4201">
      <w:pPr>
        <w:pStyle w:val="2"/>
        <w:spacing w:before="480" w:line="360" w:lineRule="auto"/>
        <w:ind w:left="0"/>
        <w:jc w:val="both"/>
        <w:rPr>
          <w:rFonts w:ascii="Times New Roman" w:hAnsi="Times New Roman" w:cs="Times New Roman"/>
          <w:sz w:val="24"/>
          <w:szCs w:val="24"/>
        </w:rPr>
      </w:pPr>
      <w:r>
        <w:rPr>
          <w:rFonts w:ascii="Times New Roman" w:hAnsi="Times New Roman" w:cs="Times New Roman"/>
          <w:sz w:val="24"/>
          <w:szCs w:val="24"/>
        </w:rPr>
        <w:t>三、主要工作内容</w:t>
      </w:r>
    </w:p>
    <w:p w14:paraId="3918F39B">
      <w:pPr>
        <w:spacing w:line="360" w:lineRule="auto"/>
        <w:ind w:firstLine="480" w:firstLineChars="200"/>
        <w:jc w:val="both"/>
        <w:outlineLvl w:val="0"/>
        <w:rPr>
          <w:rFonts w:cs="sans-serif" w:asciiTheme="minorEastAsia" w:hAnsiTheme="minorEastAsia" w:eastAsiaTheme="minorEastAsia"/>
          <w:sz w:val="24"/>
          <w:szCs w:val="24"/>
        </w:rPr>
      </w:pPr>
      <w:r>
        <w:rPr>
          <w:rFonts w:hint="eastAsia" w:cs="sans-serif" w:asciiTheme="minorEastAsia" w:hAnsiTheme="minorEastAsia" w:eastAsiaTheme="minorEastAsia"/>
          <w:sz w:val="24"/>
          <w:szCs w:val="24"/>
          <w:lang w:val="en-US" w:eastAsia="zh-CN"/>
        </w:rPr>
        <w:t>1.</w:t>
      </w:r>
      <w:r>
        <w:rPr>
          <w:rFonts w:hint="eastAsia" w:cs="sans-serif" w:asciiTheme="minorEastAsia" w:hAnsiTheme="minorEastAsia" w:eastAsiaTheme="minorEastAsia"/>
          <w:sz w:val="24"/>
          <w:szCs w:val="24"/>
        </w:rPr>
        <w:t>对现状暗渠盖板及暗渠两岸挡墙进行监测，具体监测内容包括：</w:t>
      </w:r>
    </w:p>
    <w:p w14:paraId="5EB93743">
      <w:pPr>
        <w:spacing w:line="360" w:lineRule="auto"/>
        <w:ind w:firstLine="480" w:firstLineChars="200"/>
        <w:jc w:val="both"/>
        <w:outlineLvl w:val="0"/>
        <w:rPr>
          <w:rFonts w:cs="sans-serif" w:asciiTheme="minorEastAsia" w:hAnsiTheme="minorEastAsia" w:eastAsiaTheme="minorEastAsia"/>
          <w:sz w:val="24"/>
          <w:szCs w:val="24"/>
        </w:rPr>
      </w:pPr>
      <w:r>
        <w:rPr>
          <w:rFonts w:hint="eastAsia" w:cs="sans-serif" w:asciiTheme="minorEastAsia" w:hAnsiTheme="minorEastAsia" w:eastAsiaTheme="minorEastAsia"/>
          <w:sz w:val="24"/>
          <w:szCs w:val="24"/>
        </w:rPr>
        <w:t>（1）布设水平位移基准点埋设4个，沉降基准点埋设3个，暗渠两岸挡墙监测点24个；利用原有暗渠盖板沉降监测点31个。</w:t>
      </w:r>
    </w:p>
    <w:p w14:paraId="7E0D1BD6">
      <w:pPr>
        <w:spacing w:line="360" w:lineRule="auto"/>
        <w:ind w:firstLine="480" w:firstLineChars="200"/>
        <w:jc w:val="both"/>
        <w:outlineLvl w:val="0"/>
        <w:rPr>
          <w:rFonts w:cs="sans-serif" w:asciiTheme="minorEastAsia" w:hAnsiTheme="minorEastAsia" w:eastAsiaTheme="minorEastAsia"/>
          <w:sz w:val="24"/>
          <w:szCs w:val="24"/>
        </w:rPr>
      </w:pPr>
      <w:r>
        <w:rPr>
          <w:rFonts w:hint="eastAsia" w:cs="sans-serif" w:asciiTheme="minorEastAsia" w:hAnsiTheme="minorEastAsia" w:eastAsiaTheme="minorEastAsia"/>
          <w:sz w:val="24"/>
          <w:szCs w:val="24"/>
        </w:rPr>
        <w:t>（2）水平位移基准点测量；</w:t>
      </w:r>
    </w:p>
    <w:p w14:paraId="757AAAB9">
      <w:pPr>
        <w:spacing w:line="360" w:lineRule="auto"/>
        <w:ind w:firstLine="480" w:firstLineChars="200"/>
        <w:jc w:val="both"/>
        <w:outlineLvl w:val="0"/>
        <w:rPr>
          <w:rFonts w:cs="sans-serif" w:asciiTheme="minorEastAsia" w:hAnsiTheme="minorEastAsia" w:eastAsiaTheme="minorEastAsia"/>
          <w:sz w:val="24"/>
          <w:szCs w:val="24"/>
        </w:rPr>
      </w:pPr>
      <w:r>
        <w:rPr>
          <w:rFonts w:hint="eastAsia" w:cs="sans-serif" w:asciiTheme="minorEastAsia" w:hAnsiTheme="minorEastAsia" w:eastAsiaTheme="minorEastAsia"/>
          <w:sz w:val="24"/>
          <w:szCs w:val="24"/>
        </w:rPr>
        <w:t>（3）沉降基准网测量；</w:t>
      </w:r>
    </w:p>
    <w:p w14:paraId="2349C9B2">
      <w:pPr>
        <w:spacing w:line="360" w:lineRule="auto"/>
        <w:ind w:firstLine="480" w:firstLineChars="200"/>
        <w:jc w:val="both"/>
        <w:outlineLvl w:val="0"/>
        <w:rPr>
          <w:rFonts w:cs="sans-serif" w:asciiTheme="minorEastAsia" w:hAnsiTheme="minorEastAsia" w:eastAsiaTheme="minorEastAsia"/>
          <w:sz w:val="24"/>
          <w:szCs w:val="24"/>
        </w:rPr>
      </w:pPr>
      <w:r>
        <w:rPr>
          <w:rFonts w:hint="eastAsia" w:cs="sans-serif" w:asciiTheme="minorEastAsia" w:hAnsiTheme="minorEastAsia" w:eastAsiaTheme="minorEastAsia"/>
          <w:sz w:val="24"/>
          <w:szCs w:val="24"/>
        </w:rPr>
        <w:t>（4）暗渠盖板水平位移监测及沉降监测；</w:t>
      </w:r>
    </w:p>
    <w:p w14:paraId="13780323">
      <w:pPr>
        <w:spacing w:line="360" w:lineRule="auto"/>
        <w:ind w:firstLine="480" w:firstLineChars="200"/>
        <w:jc w:val="both"/>
        <w:outlineLvl w:val="0"/>
        <w:rPr>
          <w:rFonts w:hint="eastAsia" w:cs="sans-serif" w:asciiTheme="minorEastAsia" w:hAnsiTheme="minorEastAsia" w:eastAsiaTheme="minorEastAsia"/>
          <w:sz w:val="24"/>
          <w:szCs w:val="24"/>
        </w:rPr>
      </w:pPr>
      <w:r>
        <w:rPr>
          <w:rFonts w:hint="eastAsia" w:cs="sans-serif" w:asciiTheme="minorEastAsia" w:hAnsiTheme="minorEastAsia" w:eastAsiaTheme="minorEastAsia"/>
          <w:sz w:val="24"/>
          <w:szCs w:val="24"/>
        </w:rPr>
        <w:t>（5）暗渠两岸挡墙水平位移及沉降监测。监测时间段为</w:t>
      </w:r>
      <w:r>
        <w:rPr>
          <w:rFonts w:hint="eastAsia" w:cs="sans-serif" w:asciiTheme="minorEastAsia" w:hAnsiTheme="minorEastAsia" w:eastAsiaTheme="minorEastAsia"/>
          <w:sz w:val="24"/>
          <w:szCs w:val="24"/>
          <w:lang w:val="en-US" w:eastAsia="zh-CN"/>
        </w:rPr>
        <w:t>合同签订日起</w:t>
      </w:r>
      <w:r>
        <w:rPr>
          <w:rFonts w:hint="eastAsia" w:cs="sans-serif" w:asciiTheme="minorEastAsia" w:hAnsiTheme="minorEastAsia" w:eastAsiaTheme="minorEastAsia"/>
          <w:sz w:val="24"/>
          <w:szCs w:val="24"/>
        </w:rPr>
        <w:t>至12月30日。</w:t>
      </w:r>
    </w:p>
    <w:p w14:paraId="4A3869FD">
      <w:pPr>
        <w:spacing w:line="360" w:lineRule="auto"/>
        <w:ind w:firstLine="480" w:firstLineChars="200"/>
        <w:jc w:val="both"/>
        <w:outlineLvl w:val="0"/>
        <w:rPr>
          <w:sz w:val="24"/>
          <w:szCs w:val="24"/>
        </w:rPr>
      </w:pPr>
      <w:r>
        <w:rPr>
          <w:rFonts w:hint="eastAsia" w:cs="sans-serif" w:asciiTheme="minorEastAsia" w:hAnsiTheme="minorEastAsia" w:eastAsiaTheme="minorEastAsia"/>
          <w:sz w:val="24"/>
          <w:szCs w:val="24"/>
          <w:lang w:val="en-US" w:eastAsia="zh-CN"/>
        </w:rPr>
        <w:t>2.</w:t>
      </w:r>
      <w:r>
        <w:rPr>
          <w:rFonts w:hint="eastAsia" w:cs="sans-serif" w:asciiTheme="minorEastAsia" w:hAnsiTheme="minorEastAsia" w:eastAsiaTheme="minorEastAsia"/>
          <w:sz w:val="24"/>
          <w:szCs w:val="24"/>
        </w:rPr>
        <w:t>监测频率：</w:t>
      </w:r>
      <w:r>
        <w:rPr>
          <w:rFonts w:hint="eastAsia"/>
          <w:sz w:val="24"/>
          <w:szCs w:val="24"/>
        </w:rPr>
        <w:t>按照</w:t>
      </w:r>
      <w:bookmarkStart w:id="0" w:name="_GoBack"/>
      <w:r>
        <w:rPr>
          <w:rFonts w:hint="eastAsia"/>
          <w:sz w:val="24"/>
          <w:szCs w:val="24"/>
          <w:highlight w:val="none"/>
        </w:rPr>
        <w:t>《河道管养规范》（</w:t>
      </w:r>
      <w:r>
        <w:rPr>
          <w:rFonts w:ascii="Times New Roman" w:hAnsi="Times New Roman" w:cs="Times New Roman"/>
          <w:sz w:val="24"/>
          <w:szCs w:val="24"/>
          <w:highlight w:val="none"/>
        </w:rPr>
        <w:t>DB4403/T 633-2025）</w:t>
      </w:r>
      <w:bookmarkEnd w:id="0"/>
      <w:r>
        <w:rPr>
          <w:rFonts w:hint="eastAsia"/>
          <w:sz w:val="24"/>
          <w:szCs w:val="24"/>
        </w:rPr>
        <w:t>进行工作布置，具体为：</w:t>
      </w:r>
    </w:p>
    <w:p w14:paraId="48813DBE">
      <w:pPr>
        <w:spacing w:line="360" w:lineRule="auto"/>
        <w:ind w:firstLine="480" w:firstLineChars="200"/>
        <w:jc w:val="both"/>
        <w:outlineLvl w:val="0"/>
        <w:rPr>
          <w:sz w:val="24"/>
          <w:szCs w:val="24"/>
        </w:rPr>
      </w:pPr>
      <w:r>
        <w:rPr>
          <w:rFonts w:hint="eastAsia"/>
          <w:sz w:val="24"/>
          <w:szCs w:val="24"/>
        </w:rPr>
        <w:t>（1）挡墙监测周期暂定6个月，汛期（7～9月）隐患监测点监测频次 1 次/周，非汛期（10～12月）隐患监测点监测频次 1 次/2 月，监测 14 次，台风暴雨天气加密监测，预计6次。合计共计20次。</w:t>
      </w:r>
    </w:p>
    <w:p w14:paraId="5635A451">
      <w:pPr>
        <w:spacing w:line="360" w:lineRule="auto"/>
        <w:ind w:firstLine="480" w:firstLineChars="200"/>
        <w:jc w:val="both"/>
        <w:outlineLvl w:val="0"/>
        <w:rPr>
          <w:rFonts w:hint="eastAsia"/>
          <w:sz w:val="24"/>
          <w:szCs w:val="24"/>
        </w:rPr>
      </w:pPr>
      <w:r>
        <w:rPr>
          <w:rFonts w:hint="eastAsia"/>
          <w:sz w:val="24"/>
          <w:szCs w:val="24"/>
        </w:rPr>
        <w:t>（2）暗涵盖板监测频次为汛期 2 次/周，非汛期 1 次/周，台风暴雨天气加密监测，预计 6 次。合计共计42次。</w:t>
      </w:r>
    </w:p>
    <w:p w14:paraId="603662C4">
      <w:pPr>
        <w:pStyle w:val="5"/>
        <w:adjustRightInd w:val="0"/>
        <w:spacing w:afterLines="50" w:line="360" w:lineRule="auto"/>
        <w:ind w:left="0" w:leftChars="0" w:firstLine="480" w:firstLineChars="200"/>
        <w:jc w:val="both"/>
        <w:rPr>
          <w:rFonts w:hint="eastAsia" w:cs="Times New Roman" w:asciiTheme="minorEastAsia" w:hAnsiTheme="minorEastAsia" w:eastAsiaTheme="minorEastAsia"/>
          <w:sz w:val="24"/>
          <w:szCs w:val="24"/>
          <w:lang w:val="en-US"/>
        </w:rPr>
      </w:pP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lang w:val="en-US"/>
        </w:rPr>
        <w:t>观测设施应妥善维护，监测仪器和工具应定期校验、维护；观测成果应真实、准确，监测精度应符合要求，资料应及时整理、分析，并定期进行整编。</w:t>
      </w:r>
    </w:p>
    <w:p w14:paraId="2177F2D0">
      <w:pPr>
        <w:pStyle w:val="5"/>
        <w:adjustRightInd w:val="0"/>
        <w:spacing w:afterLines="50" w:line="360" w:lineRule="auto"/>
        <w:ind w:left="0" w:leftChars="0" w:firstLine="480" w:firstLineChars="200"/>
        <w:rPr>
          <w:rFonts w:hint="eastAsia" w:cs="Times New Roman" w:asciiTheme="minorEastAsia" w:hAnsiTheme="minorEastAsia" w:eastAsiaTheme="minorEastAsia"/>
          <w:sz w:val="24"/>
          <w:szCs w:val="24"/>
          <w:lang w:val="en-US"/>
        </w:rPr>
      </w:pP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lang w:val="en-US"/>
        </w:rPr>
        <w:t>最终监测频次等工程量以实际为准未他未尽事宜参照</w:t>
      </w:r>
      <w:r>
        <w:rPr>
          <w:rFonts w:hint="eastAsia"/>
          <w:sz w:val="24"/>
          <w:szCs w:val="24"/>
        </w:rPr>
        <w:t>《河道管养规范》（</w:t>
      </w:r>
      <w:r>
        <w:rPr>
          <w:rFonts w:ascii="Times New Roman" w:hAnsi="Times New Roman" w:cs="Times New Roman"/>
          <w:sz w:val="24"/>
          <w:szCs w:val="24"/>
        </w:rPr>
        <w:t>DB4403/T 633-2025）</w:t>
      </w:r>
      <w:r>
        <w:rPr>
          <w:rFonts w:hint="eastAsia" w:cs="Times New Roman" w:asciiTheme="minorEastAsia" w:hAnsiTheme="minorEastAsia" w:eastAsiaTheme="minorEastAsia"/>
          <w:sz w:val="24"/>
          <w:szCs w:val="24"/>
          <w:lang w:val="en-US"/>
        </w:rPr>
        <w:t>执行。</w:t>
      </w:r>
    </w:p>
    <w:p w14:paraId="11AAE7D6">
      <w:pPr>
        <w:pStyle w:val="2"/>
        <w:numPr>
          <w:ilvl w:val="0"/>
          <w:numId w:val="2"/>
        </w:numPr>
        <w:spacing w:line="440" w:lineRule="exact"/>
        <w:ind w:left="0"/>
        <w:jc w:val="both"/>
        <w:rPr>
          <w:rFonts w:ascii="Times New Roman" w:hAnsi="Times New Roman" w:cs="Times New Roman"/>
          <w:sz w:val="24"/>
          <w:szCs w:val="24"/>
        </w:rPr>
      </w:pPr>
      <w:r>
        <w:rPr>
          <w:rFonts w:ascii="Times New Roman" w:hAnsi="Times New Roman" w:cs="Times New Roman"/>
          <w:sz w:val="24"/>
          <w:szCs w:val="24"/>
        </w:rPr>
        <w:t>单位资质要求</w:t>
      </w:r>
    </w:p>
    <w:p w14:paraId="648CC126">
      <w:pPr>
        <w:spacing w:line="360" w:lineRule="auto"/>
        <w:ind w:firstLine="480" w:firstLineChars="200"/>
        <w:outlineLvl w:val="0"/>
        <w:rPr>
          <w:rFonts w:ascii="Calibri" w:hAnsi="Calibri" w:cs="Times New Roman"/>
          <w:sz w:val="24"/>
          <w:szCs w:val="24"/>
          <w:lang w:val="en-US" w:bidi="ar-SA"/>
        </w:rPr>
      </w:pPr>
      <w:r>
        <w:rPr>
          <w:rFonts w:hint="eastAsia" w:ascii="Times New Roman" w:hAnsi="Times New Roman"/>
          <w:sz w:val="24"/>
          <w:szCs w:val="24"/>
        </w:rPr>
        <w:t>1</w:t>
      </w:r>
      <w:r>
        <w:rPr>
          <w:rFonts w:hint="eastAsia" w:cs="Times New Roman" w:asciiTheme="minorEastAsia" w:hAnsiTheme="minorEastAsia" w:eastAsiaTheme="minorEastAsia"/>
          <w:sz w:val="24"/>
          <w:szCs w:val="24"/>
          <w:lang w:val="en-US" w:eastAsia="zh-CN"/>
        </w:rPr>
        <w:t>.</w:t>
      </w:r>
      <w:r>
        <w:rPr>
          <w:rFonts w:hint="eastAsia"/>
          <w:sz w:val="24"/>
          <w:szCs w:val="24"/>
        </w:rPr>
        <w:t>供应商须为在中华人民共和国境内合法注册并有效存续的法人机构。</w:t>
      </w:r>
    </w:p>
    <w:p w14:paraId="06DAC8CB">
      <w:pPr>
        <w:spacing w:line="360" w:lineRule="auto"/>
        <w:ind w:firstLine="480" w:firstLineChars="200"/>
        <w:outlineLvl w:val="0"/>
        <w:rPr>
          <w:rFonts w:ascii="Times New Roman" w:hAnsi="Times New Roman"/>
          <w:sz w:val="24"/>
          <w:lang w:bidi="ar"/>
        </w:rPr>
      </w:pPr>
      <w:r>
        <w:rPr>
          <w:rFonts w:hint="eastAsia" w:ascii="Times New Roman" w:hAnsi="Times New Roman"/>
          <w:sz w:val="24"/>
          <w:szCs w:val="24"/>
        </w:rPr>
        <w:t>2</w:t>
      </w:r>
      <w:r>
        <w:rPr>
          <w:rFonts w:hint="eastAsia" w:cs="Times New Roman" w:asciiTheme="minorEastAsia" w:hAnsiTheme="minorEastAsia" w:eastAsiaTheme="minorEastAsia"/>
          <w:sz w:val="24"/>
          <w:szCs w:val="24"/>
          <w:lang w:val="en-US" w:eastAsia="zh-CN"/>
        </w:rPr>
        <w:t>.</w:t>
      </w:r>
      <w:r>
        <w:rPr>
          <w:rFonts w:hint="eastAsia" w:ascii="Times New Roman" w:hAnsi="Times New Roman"/>
          <w:sz w:val="24"/>
          <w:lang w:bidi="ar"/>
        </w:rPr>
        <w:t>供应商须具备水利主管部门颁发的水利工程质量检测单位资质等级证书（检测范围包括量测类乙级或以上资质）或具有测绘主管部门颁发的乙级或以上测绘资质（专业范围包含工程测量）。</w:t>
      </w:r>
    </w:p>
    <w:p w14:paraId="1255BC23">
      <w:pPr>
        <w:spacing w:line="360" w:lineRule="auto"/>
        <w:ind w:firstLine="480" w:firstLineChars="200"/>
        <w:outlineLvl w:val="0"/>
        <w:rPr>
          <w:rFonts w:ascii="Times New Roman" w:hAnsi="Times New Roman"/>
          <w:sz w:val="24"/>
          <w:szCs w:val="24"/>
        </w:rPr>
      </w:pPr>
      <w:r>
        <w:rPr>
          <w:rFonts w:hint="eastAsia" w:ascii="Times New Roman" w:hAnsi="Times New Roman"/>
          <w:sz w:val="24"/>
          <w:szCs w:val="24"/>
        </w:rPr>
        <w:t>3</w:t>
      </w:r>
      <w:r>
        <w:rPr>
          <w:rFonts w:hint="eastAsia" w:cs="Times New Roman" w:asciiTheme="minorEastAsia" w:hAnsiTheme="minorEastAsia" w:eastAsiaTheme="minorEastAsia"/>
          <w:sz w:val="24"/>
          <w:szCs w:val="24"/>
          <w:lang w:val="en-US" w:eastAsia="zh-CN"/>
        </w:rPr>
        <w:t>.</w:t>
      </w:r>
      <w:r>
        <w:rPr>
          <w:rFonts w:hint="eastAsia"/>
          <w:sz w:val="24"/>
          <w:szCs w:val="24"/>
        </w:rPr>
        <w:t>必须按照本项目需求内容的技术要求和相关行业标准报价。</w:t>
      </w:r>
    </w:p>
    <w:p w14:paraId="7E1F3A84">
      <w:pPr>
        <w:spacing w:line="360" w:lineRule="auto"/>
        <w:ind w:firstLine="480" w:firstLineChars="200"/>
        <w:outlineLvl w:val="0"/>
        <w:rPr>
          <w:rFonts w:ascii="Times New Roman" w:hAnsi="Times New Roman"/>
          <w:sz w:val="24"/>
          <w:szCs w:val="24"/>
        </w:rPr>
      </w:pPr>
      <w:r>
        <w:rPr>
          <w:rFonts w:hint="eastAsia" w:ascii="Times New Roman" w:hAnsi="Times New Roman"/>
          <w:sz w:val="24"/>
          <w:szCs w:val="24"/>
        </w:rPr>
        <w:t>4</w:t>
      </w:r>
      <w:r>
        <w:rPr>
          <w:rFonts w:hint="eastAsia" w:cs="Times New Roman" w:asciiTheme="minorEastAsia" w:hAnsiTheme="minorEastAsia" w:eastAsiaTheme="minorEastAsia"/>
          <w:sz w:val="24"/>
          <w:szCs w:val="24"/>
          <w:lang w:val="en-US" w:eastAsia="zh-CN"/>
        </w:rPr>
        <w:t>.</w:t>
      </w:r>
      <w:r>
        <w:rPr>
          <w:rFonts w:hint="eastAsia"/>
          <w:sz w:val="24"/>
          <w:szCs w:val="24"/>
        </w:rPr>
        <w:t>供应商需提供近三年至少一项监测业绩【证明文件：提供加盖甲乙双方公章的合同关键页复印件，时间以合同签订日期为准，须体现合同金额、项目内容，复印件加盖公章】</w:t>
      </w:r>
    </w:p>
    <w:p w14:paraId="0F14D5D0">
      <w:pPr>
        <w:spacing w:before="145" w:line="440" w:lineRule="exact"/>
        <w:ind w:right="5431"/>
        <w:jc w:val="both"/>
        <w:rPr>
          <w:rFonts w:ascii="Times New Roman" w:hAnsi="Times New Roman" w:cs="Times New Roman"/>
          <w:b/>
          <w:sz w:val="24"/>
          <w:szCs w:val="24"/>
          <w:lang w:val="en-US"/>
        </w:rPr>
      </w:pPr>
      <w:r>
        <w:rPr>
          <w:rFonts w:ascii="Times New Roman" w:hAnsi="Times New Roman" w:cs="Times New Roman"/>
          <w:b/>
          <w:sz w:val="24"/>
          <w:szCs w:val="24"/>
        </w:rPr>
        <w:t>五、提交成果</w:t>
      </w:r>
    </w:p>
    <w:p w14:paraId="2D5B49C8">
      <w:pPr>
        <w:widowControl/>
        <w:spacing w:line="440" w:lineRule="exact"/>
        <w:ind w:firstLine="480" w:firstLineChars="200"/>
        <w:jc w:val="both"/>
        <w:rPr>
          <w:rFonts w:ascii="Times New Roman" w:hAnsi="Times New Roman" w:cs="Times New Roman"/>
          <w:color w:val="000000"/>
          <w:sz w:val="24"/>
          <w:szCs w:val="24"/>
          <w:lang w:val="en-US" w:bidi="ar"/>
        </w:rPr>
      </w:pPr>
      <w:r>
        <w:rPr>
          <w:rFonts w:hint="eastAsia" w:ascii="Times New Roman" w:hAnsi="Times New Roman" w:cs="Times New Roman"/>
          <w:color w:val="000000"/>
          <w:sz w:val="24"/>
          <w:szCs w:val="24"/>
          <w:lang w:val="en-US" w:bidi="ar"/>
        </w:rPr>
        <w:t>监测服务期间，完成监测数据处理和整编，汛期每月5日前完成上个月监测成果</w:t>
      </w:r>
      <w:r>
        <w:rPr>
          <w:rFonts w:ascii="Times New Roman" w:hAnsi="Times New Roman" w:cs="Times New Roman"/>
          <w:color w:val="000000"/>
          <w:sz w:val="24"/>
          <w:szCs w:val="24"/>
          <w:lang w:val="en-US" w:bidi="ar"/>
        </w:rPr>
        <w:t>数据和监测</w:t>
      </w:r>
      <w:r>
        <w:rPr>
          <w:rFonts w:hint="eastAsia" w:ascii="Times New Roman" w:hAnsi="Times New Roman" w:cs="Times New Roman"/>
          <w:color w:val="000000"/>
          <w:sz w:val="24"/>
          <w:szCs w:val="24"/>
          <w:lang w:val="en-US" w:bidi="ar"/>
        </w:rPr>
        <w:t>季</w:t>
      </w:r>
      <w:r>
        <w:rPr>
          <w:rFonts w:ascii="Times New Roman" w:hAnsi="Times New Roman" w:cs="Times New Roman"/>
          <w:color w:val="000000"/>
          <w:sz w:val="24"/>
          <w:szCs w:val="24"/>
          <w:lang w:val="en-US" w:bidi="ar"/>
        </w:rPr>
        <w:t>报</w:t>
      </w:r>
      <w:r>
        <w:rPr>
          <w:rFonts w:hint="eastAsia" w:ascii="Times New Roman" w:hAnsi="Times New Roman" w:cs="Times New Roman"/>
          <w:color w:val="000000"/>
          <w:sz w:val="24"/>
          <w:szCs w:val="24"/>
          <w:lang w:val="en-US" w:bidi="ar"/>
        </w:rPr>
        <w:t>，非汛期每季度</w:t>
      </w:r>
      <w:r>
        <w:rPr>
          <w:rFonts w:ascii="Times New Roman" w:hAnsi="Times New Roman" w:cs="Times New Roman"/>
          <w:color w:val="000000"/>
          <w:sz w:val="24"/>
          <w:szCs w:val="24"/>
          <w:lang w:val="en-US" w:bidi="ar"/>
        </w:rPr>
        <w:t>10日前完成上</w:t>
      </w:r>
      <w:r>
        <w:rPr>
          <w:rFonts w:hint="eastAsia" w:ascii="Times New Roman" w:hAnsi="Times New Roman" w:cs="Times New Roman"/>
          <w:color w:val="000000"/>
          <w:sz w:val="24"/>
          <w:szCs w:val="24"/>
          <w:lang w:val="en-US" w:bidi="ar"/>
        </w:rPr>
        <w:t>个季度</w:t>
      </w:r>
      <w:r>
        <w:rPr>
          <w:rFonts w:ascii="Times New Roman" w:hAnsi="Times New Roman" w:cs="Times New Roman"/>
          <w:color w:val="000000"/>
          <w:sz w:val="24"/>
          <w:szCs w:val="24"/>
          <w:lang w:val="en-US" w:bidi="ar"/>
        </w:rPr>
        <w:t>监测成果数据和监测</w:t>
      </w:r>
      <w:r>
        <w:rPr>
          <w:rFonts w:hint="eastAsia" w:ascii="Times New Roman" w:hAnsi="Times New Roman" w:cs="Times New Roman"/>
          <w:color w:val="000000"/>
          <w:sz w:val="24"/>
          <w:szCs w:val="24"/>
          <w:lang w:val="en-US" w:bidi="ar"/>
        </w:rPr>
        <w:t>季</w:t>
      </w:r>
      <w:r>
        <w:rPr>
          <w:rFonts w:ascii="Times New Roman" w:hAnsi="Times New Roman" w:cs="Times New Roman"/>
          <w:color w:val="000000"/>
          <w:sz w:val="24"/>
          <w:szCs w:val="24"/>
          <w:lang w:val="en-US" w:bidi="ar"/>
        </w:rPr>
        <w:t>报</w:t>
      </w:r>
      <w:r>
        <w:rPr>
          <w:rFonts w:hint="eastAsia" w:ascii="Times New Roman" w:hAnsi="Times New Roman" w:cs="Times New Roman"/>
          <w:color w:val="000000"/>
          <w:sz w:val="24"/>
          <w:szCs w:val="24"/>
          <w:lang w:val="en-US" w:bidi="ar"/>
        </w:rPr>
        <w:t>。全部监测工作完成后7日内，提交汇总</w:t>
      </w:r>
      <w:r>
        <w:rPr>
          <w:rFonts w:ascii="Times New Roman" w:hAnsi="Times New Roman" w:cs="Times New Roman"/>
          <w:color w:val="000000"/>
          <w:sz w:val="24"/>
          <w:szCs w:val="24"/>
          <w:lang w:val="en-US" w:bidi="ar"/>
        </w:rPr>
        <w:t>监测成果数据和监测</w:t>
      </w:r>
      <w:r>
        <w:rPr>
          <w:rFonts w:hint="eastAsia" w:ascii="Times New Roman" w:hAnsi="Times New Roman" w:cs="Times New Roman"/>
          <w:color w:val="000000"/>
          <w:sz w:val="24"/>
          <w:szCs w:val="24"/>
          <w:lang w:val="en-US" w:bidi="ar"/>
        </w:rPr>
        <w:t>年</w:t>
      </w:r>
      <w:r>
        <w:rPr>
          <w:rFonts w:ascii="Times New Roman" w:hAnsi="Times New Roman" w:cs="Times New Roman"/>
          <w:color w:val="000000"/>
          <w:sz w:val="24"/>
          <w:szCs w:val="24"/>
          <w:lang w:val="en-US" w:bidi="ar"/>
        </w:rPr>
        <w:t xml:space="preserve">报，监测出现异常时进行监测预警。 </w:t>
      </w:r>
      <w:r>
        <w:rPr>
          <w:rFonts w:hint="eastAsia" w:ascii="Times New Roman" w:hAnsi="Times New Roman" w:cs="Times New Roman"/>
          <w:color w:val="000000"/>
          <w:sz w:val="24"/>
          <w:szCs w:val="24"/>
          <w:lang w:val="en-US" w:bidi="ar"/>
        </w:rPr>
        <w:t>监测成果数据处理内容包括：监测数据校核、编制监测报表、分析监测数据并提出监测结论。</w:t>
      </w:r>
    </w:p>
    <w:p w14:paraId="222A407F">
      <w:pPr>
        <w:spacing w:before="145" w:line="440" w:lineRule="exact"/>
        <w:ind w:right="5431"/>
        <w:jc w:val="both"/>
        <w:rPr>
          <w:rFonts w:ascii="Times New Roman" w:hAnsi="Times New Roman" w:cs="Times New Roman"/>
          <w:b/>
          <w:sz w:val="24"/>
          <w:szCs w:val="24"/>
        </w:rPr>
      </w:pPr>
      <w:r>
        <w:rPr>
          <w:rFonts w:ascii="Times New Roman" w:hAnsi="Times New Roman" w:cs="Times New Roman"/>
          <w:b/>
          <w:sz w:val="24"/>
          <w:szCs w:val="24"/>
        </w:rPr>
        <w:t>六、验收要求</w:t>
      </w:r>
    </w:p>
    <w:p w14:paraId="49F8FC83">
      <w:pPr>
        <w:widowControl/>
        <w:spacing w:line="440" w:lineRule="exact"/>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lang w:val="en-US" w:eastAsia="zh-CN"/>
        </w:rPr>
        <w:t>服务</w:t>
      </w:r>
      <w:r>
        <w:rPr>
          <w:rFonts w:ascii="Times New Roman" w:hAnsi="Times New Roman" w:cs="Times New Roman"/>
          <w:sz w:val="24"/>
          <w:szCs w:val="24"/>
        </w:rPr>
        <w:t>单位提供</w:t>
      </w:r>
      <w:r>
        <w:rPr>
          <w:rFonts w:ascii="Times New Roman" w:hAnsi="Times New Roman" w:cs="Times New Roman"/>
          <w:sz w:val="24"/>
          <w:szCs w:val="24"/>
          <w:lang w:val="en-US"/>
        </w:rPr>
        <w:t>相应结果</w:t>
      </w:r>
      <w:r>
        <w:rPr>
          <w:rFonts w:ascii="Times New Roman" w:hAnsi="Times New Roman" w:cs="Times New Roman"/>
          <w:sz w:val="24"/>
          <w:szCs w:val="24"/>
        </w:rPr>
        <w:t>资料应满足</w:t>
      </w:r>
      <w:r>
        <w:rPr>
          <w:rFonts w:ascii="Times New Roman" w:hAnsi="Times New Roman" w:cs="Times New Roman"/>
          <w:sz w:val="24"/>
          <w:szCs w:val="24"/>
          <w:lang w:val="en-US"/>
        </w:rPr>
        <w:t>水利工程</w:t>
      </w:r>
      <w:r>
        <w:rPr>
          <w:rFonts w:hint="eastAsia" w:ascii="Times New Roman" w:hAnsi="Times New Roman" w:cs="Times New Roman"/>
          <w:sz w:val="24"/>
          <w:szCs w:val="24"/>
          <w:lang w:val="en-US"/>
        </w:rPr>
        <w:t>观测、监测相关</w:t>
      </w:r>
      <w:r>
        <w:rPr>
          <w:rFonts w:ascii="Times New Roman" w:hAnsi="Times New Roman" w:cs="Times New Roman"/>
          <w:sz w:val="24"/>
          <w:szCs w:val="24"/>
        </w:rPr>
        <w:t>技术规定规范的要求，</w:t>
      </w:r>
      <w:r>
        <w:rPr>
          <w:rFonts w:ascii="Times New Roman" w:hAnsi="Times New Roman" w:cs="Times New Roman"/>
          <w:sz w:val="24"/>
          <w:szCs w:val="24"/>
          <w:lang w:val="en-US"/>
        </w:rPr>
        <w:t>成果需</w:t>
      </w:r>
      <w:r>
        <w:rPr>
          <w:rFonts w:hint="eastAsia" w:ascii="Times New Roman" w:hAnsi="Times New Roman" w:cs="Times New Roman"/>
          <w:sz w:val="24"/>
          <w:szCs w:val="24"/>
          <w:lang w:val="en-US"/>
        </w:rPr>
        <w:t>进行专家评审，并</w:t>
      </w:r>
      <w:r>
        <w:rPr>
          <w:rFonts w:ascii="Times New Roman" w:hAnsi="Times New Roman" w:cs="Times New Roman"/>
          <w:sz w:val="24"/>
          <w:szCs w:val="24"/>
          <w:lang w:val="en-US"/>
        </w:rPr>
        <w:t>获</w:t>
      </w:r>
      <w:r>
        <w:rPr>
          <w:rFonts w:hint="eastAsia" w:ascii="Times New Roman" w:hAnsi="Times New Roman" w:cs="Times New Roman"/>
          <w:sz w:val="24"/>
          <w:szCs w:val="24"/>
          <w:lang w:val="en-US"/>
        </w:rPr>
        <w:t>宝安排水</w:t>
      </w:r>
      <w:r>
        <w:rPr>
          <w:rFonts w:ascii="Times New Roman" w:hAnsi="Times New Roman" w:cs="Times New Roman"/>
          <w:color w:val="000000"/>
          <w:sz w:val="24"/>
          <w:szCs w:val="24"/>
          <w:lang w:val="en-US" w:bidi="ar"/>
        </w:rPr>
        <w:t>、区水务局审核后通过。</w:t>
      </w:r>
    </w:p>
    <w:sectPr>
      <w:footerReference r:id="rId3" w:type="default"/>
      <w:pgSz w:w="11910" w:h="16840"/>
      <w:pgMar w:top="1460" w:right="760" w:bottom="1160" w:left="1120" w:header="0" w:footer="9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3599">
    <w:pPr>
      <w:pStyle w:val="4"/>
      <w:spacing w:line="14" w:lineRule="auto"/>
      <w:ind w:left="0" w:firstLine="0"/>
      <w:rPr>
        <w:rFonts w:hint="eastAsia"/>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204D20">
                          <w:pPr>
                            <w:pStyle w:val="8"/>
                            <w:rPr>
                              <w:rFonts w:hint="eastAsia"/>
                            </w:rPr>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9xpQOIBAAC+AwAADgAA&#10;AAAAAAABACAAAAAeAQAAZHJzL2Uyb0RvYy54bWxQSwUGAAAAAAYABgBZAQAAcgUAAAAA&#10;">
              <v:fill on="f" focussize="0,0"/>
              <v:stroke on="f"/>
              <v:imagedata o:title=""/>
              <o:lock v:ext="edit" aspectratio="f"/>
              <v:textbox inset="0mm,0mm,0mm,0mm" style="mso-fit-shape-to-text:t;">
                <w:txbxContent>
                  <w:p w14:paraId="44204D20">
                    <w:pPr>
                      <w:pStyle w:val="8"/>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B1316"/>
    <w:multiLevelType w:val="multilevel"/>
    <w:tmpl w:val="31BB1316"/>
    <w:lvl w:ilvl="0" w:tentative="0">
      <w:start w:val="1"/>
      <w:numFmt w:val="decimal"/>
      <w:lvlText w:val="%1."/>
      <w:lvlJc w:val="left"/>
      <w:pPr>
        <w:ind w:left="425" w:hanging="425"/>
      </w:pPr>
      <w:rPr>
        <w:rFonts w:hint="default" w:ascii="宋体" w:hAnsi="宋体" w:eastAsia="宋体"/>
      </w:rPr>
    </w:lvl>
    <w:lvl w:ilvl="1" w:tentative="0">
      <w:start w:val="1"/>
      <w:numFmt w:val="decimal"/>
      <w:pStyle w:val="3"/>
      <w:lvlText w:val="%1.%2."/>
      <w:lvlJc w:val="left"/>
      <w:pPr>
        <w:ind w:left="3687" w:hanging="567"/>
      </w:pPr>
      <w:rPr>
        <w:rFonts w:hint="eastAsia" w:ascii="宋体" w:hAnsi="宋体" w:eastAsia="宋体"/>
      </w:rPr>
    </w:lvl>
    <w:lvl w:ilvl="2" w:tentative="0">
      <w:start w:val="1"/>
      <w:numFmt w:val="decimal"/>
      <w:lvlText w:val="%1.%2.%3."/>
      <w:lvlJc w:val="left"/>
      <w:pPr>
        <w:ind w:left="1277" w:hanging="709"/>
      </w:pPr>
      <w:rPr>
        <w:rFonts w:hint="default" w:ascii="宋体" w:hAnsi="宋体" w:eastAsia="宋体"/>
      </w:rPr>
    </w:lvl>
    <w:lvl w:ilvl="3" w:tentative="0">
      <w:start w:val="1"/>
      <w:numFmt w:val="decimal"/>
      <w:lvlText w:val="%1.%2.%3.%4."/>
      <w:lvlJc w:val="left"/>
      <w:pPr>
        <w:ind w:left="851" w:hanging="851"/>
      </w:pPr>
      <w:rPr>
        <w:rFonts w:hint="default" w:ascii="宋体" w:hAnsi="宋体" w:eastAsia="宋体"/>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64C34861"/>
    <w:multiLevelType w:val="singleLevel"/>
    <w:tmpl w:val="64C3486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0F"/>
    <w:rsid w:val="00013881"/>
    <w:rsid w:val="00043A52"/>
    <w:rsid w:val="000D2240"/>
    <w:rsid w:val="000D41F8"/>
    <w:rsid w:val="000E42FD"/>
    <w:rsid w:val="000E6F46"/>
    <w:rsid w:val="00121AF7"/>
    <w:rsid w:val="00133CBA"/>
    <w:rsid w:val="00187136"/>
    <w:rsid w:val="001B47CE"/>
    <w:rsid w:val="00225AA2"/>
    <w:rsid w:val="0024616F"/>
    <w:rsid w:val="00255F16"/>
    <w:rsid w:val="00293085"/>
    <w:rsid w:val="002965ED"/>
    <w:rsid w:val="002B06E7"/>
    <w:rsid w:val="002C4078"/>
    <w:rsid w:val="002E34B0"/>
    <w:rsid w:val="00305C53"/>
    <w:rsid w:val="00331038"/>
    <w:rsid w:val="00364DA0"/>
    <w:rsid w:val="003963BE"/>
    <w:rsid w:val="0042072A"/>
    <w:rsid w:val="00420D7A"/>
    <w:rsid w:val="00422E0A"/>
    <w:rsid w:val="004515C9"/>
    <w:rsid w:val="00480731"/>
    <w:rsid w:val="004B1A61"/>
    <w:rsid w:val="004D149F"/>
    <w:rsid w:val="0050630F"/>
    <w:rsid w:val="0051365D"/>
    <w:rsid w:val="0055238B"/>
    <w:rsid w:val="00581137"/>
    <w:rsid w:val="00581C7B"/>
    <w:rsid w:val="00644FE0"/>
    <w:rsid w:val="00696D66"/>
    <w:rsid w:val="006C5064"/>
    <w:rsid w:val="007134D1"/>
    <w:rsid w:val="00762FC9"/>
    <w:rsid w:val="007665B2"/>
    <w:rsid w:val="0077518F"/>
    <w:rsid w:val="007C0027"/>
    <w:rsid w:val="007D2846"/>
    <w:rsid w:val="007E6006"/>
    <w:rsid w:val="00870B83"/>
    <w:rsid w:val="008A1DB3"/>
    <w:rsid w:val="008D0C28"/>
    <w:rsid w:val="008D1FC9"/>
    <w:rsid w:val="00917D5A"/>
    <w:rsid w:val="00940FDF"/>
    <w:rsid w:val="00944C85"/>
    <w:rsid w:val="009A1E94"/>
    <w:rsid w:val="009A4558"/>
    <w:rsid w:val="009C406F"/>
    <w:rsid w:val="00A1345A"/>
    <w:rsid w:val="00A1385A"/>
    <w:rsid w:val="00A26ADC"/>
    <w:rsid w:val="00A47BFE"/>
    <w:rsid w:val="00A51BC2"/>
    <w:rsid w:val="00A52CC0"/>
    <w:rsid w:val="00A62F2C"/>
    <w:rsid w:val="00A96594"/>
    <w:rsid w:val="00AB065A"/>
    <w:rsid w:val="00AE527D"/>
    <w:rsid w:val="00B24DA8"/>
    <w:rsid w:val="00B3708E"/>
    <w:rsid w:val="00B774B2"/>
    <w:rsid w:val="00B97BEA"/>
    <w:rsid w:val="00BB0539"/>
    <w:rsid w:val="00BC3EFB"/>
    <w:rsid w:val="00C230B3"/>
    <w:rsid w:val="00C64D37"/>
    <w:rsid w:val="00C822D8"/>
    <w:rsid w:val="00CA6810"/>
    <w:rsid w:val="00D22865"/>
    <w:rsid w:val="00D41610"/>
    <w:rsid w:val="00D45296"/>
    <w:rsid w:val="00D6011E"/>
    <w:rsid w:val="00D85B75"/>
    <w:rsid w:val="00DD1E66"/>
    <w:rsid w:val="00DF1603"/>
    <w:rsid w:val="00E006C6"/>
    <w:rsid w:val="00E403DB"/>
    <w:rsid w:val="00E73B5E"/>
    <w:rsid w:val="00F1498F"/>
    <w:rsid w:val="00F210A6"/>
    <w:rsid w:val="00F54B9C"/>
    <w:rsid w:val="00FD59FF"/>
    <w:rsid w:val="08F200B0"/>
    <w:rsid w:val="0C3070DC"/>
    <w:rsid w:val="0DB347F1"/>
    <w:rsid w:val="143E7FA6"/>
    <w:rsid w:val="31EF4687"/>
    <w:rsid w:val="35E14408"/>
    <w:rsid w:val="3967175D"/>
    <w:rsid w:val="3F2146B0"/>
    <w:rsid w:val="41C42A7A"/>
    <w:rsid w:val="4BD939D6"/>
    <w:rsid w:val="56240C87"/>
    <w:rsid w:val="5A8F3CDD"/>
    <w:rsid w:val="5BF24C58"/>
    <w:rsid w:val="5F7D396B"/>
    <w:rsid w:val="627825EF"/>
    <w:rsid w:val="71E740F6"/>
    <w:rsid w:val="79622D36"/>
    <w:rsid w:val="7A2C55C5"/>
    <w:rsid w:val="7A75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853"/>
      <w:outlineLvl w:val="0"/>
    </w:pPr>
    <w:rPr>
      <w:b/>
      <w:bCs/>
    </w:rPr>
  </w:style>
  <w:style w:type="paragraph" w:styleId="3">
    <w:name w:val="heading 2"/>
    <w:basedOn w:val="1"/>
    <w:next w:val="1"/>
    <w:qFormat/>
    <w:uiPriority w:val="0"/>
    <w:pPr>
      <w:keepNext/>
      <w:keepLines/>
      <w:numPr>
        <w:ilvl w:val="1"/>
        <w:numId w:val="1"/>
      </w:numPr>
      <w:spacing w:line="360" w:lineRule="auto"/>
      <w:outlineLvl w:val="1"/>
    </w:pPr>
    <w:rPr>
      <w:rFonts w:ascii="Cambria" w:hAnsi="Cambria" w:eastAsia="黑体"/>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411" w:firstLine="439"/>
    </w:pPr>
  </w:style>
  <w:style w:type="paragraph" w:styleId="5">
    <w:name w:val="Body Text Indent"/>
    <w:basedOn w:val="1"/>
    <w:qFormat/>
    <w:uiPriority w:val="0"/>
    <w:pPr>
      <w:spacing w:after="120"/>
      <w:ind w:left="420" w:leftChars="200"/>
    </w:pPr>
    <w:rPr>
      <w:rFonts w:ascii="Calibri" w:hAnsi="Calibri"/>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Body Text First Indent 2"/>
    <w:basedOn w:val="5"/>
    <w:qFormat/>
    <w:uiPriority w:val="0"/>
    <w:pPr>
      <w:ind w:firstLine="420" w:firstLine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072" w:hanging="223"/>
    </w:pPr>
  </w:style>
  <w:style w:type="paragraph" w:customStyle="1" w:styleId="16">
    <w:name w:val="Table Paragraph"/>
    <w:basedOn w:val="1"/>
    <w:qFormat/>
    <w:uiPriority w:val="1"/>
    <w:pPr>
      <w:spacing w:before="70"/>
      <w:jc w:val="center"/>
    </w:pPr>
  </w:style>
  <w:style w:type="character" w:customStyle="1" w:styleId="17">
    <w:name w:val="font31"/>
    <w:basedOn w:val="13"/>
    <w:qFormat/>
    <w:uiPriority w:val="0"/>
    <w:rPr>
      <w:rFonts w:hint="default" w:ascii="Times New Roman" w:hAnsi="Times New Roman" w:cs="Times New Roman"/>
      <w:color w:val="000000"/>
      <w:sz w:val="21"/>
      <w:szCs w:val="21"/>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Other|1"/>
    <w:basedOn w:val="1"/>
    <w:qFormat/>
    <w:uiPriority w:val="0"/>
    <w:pPr>
      <w:jc w:val="center"/>
    </w:pPr>
    <w:rPr>
      <w:sz w:val="20"/>
      <w:szCs w:val="20"/>
      <w:lang w:val="zh-TW" w:eastAsia="zh-TW" w:bidi="zh-TW"/>
    </w:rPr>
  </w:style>
  <w:style w:type="paragraph" w:customStyle="1" w:styleId="20">
    <w:name w:val="样式 样式 首行缩进:  2 字符1 + 宋体 黑色 首行缩进:  2 字符"/>
    <w:basedOn w:val="1"/>
    <w:qFormat/>
    <w:uiPriority w:val="0"/>
    <w:pPr>
      <w:spacing w:line="360" w:lineRule="auto"/>
      <w:ind w:firstLine="480" w:firstLineChars="200"/>
    </w:pPr>
    <w:rPr>
      <w:color w:val="000000"/>
      <w:sz w:val="20"/>
      <w:szCs w:val="20"/>
    </w:rPr>
  </w:style>
  <w:style w:type="paragraph" w:customStyle="1" w:styleId="21">
    <w:name w:val="Other|2"/>
    <w:basedOn w:val="1"/>
    <w:qFormat/>
    <w:uiPriority w:val="0"/>
    <w:rPr>
      <w:sz w:val="20"/>
      <w:szCs w:val="20"/>
      <w:lang w:val="zh-TW" w:eastAsia="zh-TW" w:bidi="zh-TW"/>
    </w:rPr>
  </w:style>
  <w:style w:type="character" w:customStyle="1" w:styleId="22">
    <w:name w:val="批注框文本 字符"/>
    <w:basedOn w:val="13"/>
    <w:link w:val="7"/>
    <w:qFormat/>
    <w:uiPriority w:val="0"/>
    <w:rPr>
      <w:rFonts w:ascii="宋体" w:hAnsi="宋体" w:cs="宋体"/>
      <w:sz w:val="18"/>
      <w:szCs w:val="18"/>
      <w:lang w:val="zh-CN" w:bidi="zh-CN"/>
    </w:rPr>
  </w:style>
  <w:style w:type="character" w:customStyle="1" w:styleId="23">
    <w:name w:val="font51"/>
    <w:basedOn w:val="13"/>
    <w:qFormat/>
    <w:uiPriority w:val="0"/>
    <w:rPr>
      <w:rFonts w:hint="default" w:ascii="Times New Roman" w:hAnsi="Times New Roman" w:cs="Times New Roman"/>
      <w:b/>
      <w:bCs/>
      <w:color w:val="000000"/>
      <w:sz w:val="21"/>
      <w:szCs w:val="21"/>
      <w:u w:val="none"/>
    </w:rPr>
  </w:style>
  <w:style w:type="character" w:customStyle="1" w:styleId="24">
    <w:name w:val="font41"/>
    <w:basedOn w:val="13"/>
    <w:qFormat/>
    <w:uiPriority w:val="0"/>
    <w:rPr>
      <w:rFonts w:hint="eastAsia" w:ascii="宋体" w:hAnsi="宋体" w:eastAsia="宋体" w:cs="宋体"/>
      <w:color w:val="000000"/>
      <w:sz w:val="21"/>
      <w:szCs w:val="21"/>
      <w:u w:val="none"/>
    </w:rPr>
  </w:style>
  <w:style w:type="character" w:customStyle="1" w:styleId="25">
    <w:name w:val="Book Title"/>
    <w:basedOn w:val="13"/>
    <w:qFormat/>
    <w:uiPriority w:val="33"/>
    <w:rPr>
      <w:b/>
      <w:bCs/>
      <w:i/>
      <w:iCs/>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1146</Words>
  <Characters>1247</Characters>
  <Lines>9</Lines>
  <Paragraphs>2</Paragraphs>
  <TotalTime>13</TotalTime>
  <ScaleCrop>false</ScaleCrop>
  <LinksUpToDate>false</LinksUpToDate>
  <CharactersWithSpaces>1269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2025-07-01T11:58:00Z</dcterms:created>
  <dc:creator>广东中凯工程管理咨询有限公司</dc:creator>
  <cp:keywords>C</cp:keywords>
  <cp:lastModifiedBy>叶礼坡</cp:lastModifiedBy>
  <cp:lastPrinted>2022-07-08T02:25:00Z</cp:lastPrinted>
  <dcterms:modified xsi:type="dcterms:W3CDTF">2025-07-02T01:28:22Z</dcterms:modified>
  <dc:title>东莞市政府采购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适用于 Office 365</vt:lpwstr>
  </property>
  <property fmtid="{D5CDD505-2E9C-101B-9397-08002B2CF9AE}" pid="4" name="LastSaved">
    <vt:filetime>2021-09-29T00:00:00Z</vt:filetime>
  </property>
  <property fmtid="{D5CDD505-2E9C-101B-9397-08002B2CF9AE}" pid="5" name="KSOProductBuildVer">
    <vt:lpwstr>2052-12.1.0.21541</vt:lpwstr>
  </property>
  <property fmtid="{D5CDD505-2E9C-101B-9397-08002B2CF9AE}" pid="6" name="ICV">
    <vt:lpwstr>255CE93909BC4AAB87DFBB048A7EDDE9</vt:lpwstr>
  </property>
  <property fmtid="{D5CDD505-2E9C-101B-9397-08002B2CF9AE}" pid="7" name="KSOTemplateDocerSaveRecord">
    <vt:lpwstr>eyJoZGlkIjoiYWE0YThiZDMxOWY4YTM4YWZjNGZmY2U1MTdhOTBiNjMiLCJ1c2VySWQiOiIxOTEzMzY3MjIifQ==</vt:lpwstr>
  </property>
</Properties>
</file>