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902BF">
      <w:pPr>
        <w:widowControl/>
        <w:jc w:val="left"/>
        <w:rPr>
          <w:rFonts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3</w:t>
      </w:r>
      <w:r>
        <w:rPr>
          <w:rFonts w:hint="eastAsia" w:ascii="宋体" w:hAnsi="宋体"/>
          <w:b/>
          <w:sz w:val="32"/>
          <w:szCs w:val="32"/>
        </w:rPr>
        <w:t>：</w:t>
      </w:r>
    </w:p>
    <w:p w14:paraId="5D1CDA89">
      <w:pPr>
        <w:keepNext w:val="0"/>
        <w:keepLines w:val="0"/>
        <w:pageBreakBefore w:val="0"/>
        <w:widowControl/>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lang w:eastAsia="zh-CN"/>
        </w:rPr>
        <w:t>深圳市宝安排水有限公司在管水务设施</w:t>
      </w:r>
      <w:r>
        <w:rPr>
          <w:rFonts w:hint="eastAsia" w:ascii="宋体" w:hAnsi="宋体"/>
          <w:b/>
          <w:sz w:val="32"/>
          <w:szCs w:val="32"/>
          <w:lang w:val="en-US" w:eastAsia="zh-CN"/>
        </w:rPr>
        <w:t>2026年</w:t>
      </w:r>
      <w:r>
        <w:rPr>
          <w:rFonts w:hint="eastAsia" w:ascii="宋体" w:hAnsi="宋体"/>
          <w:b/>
          <w:sz w:val="32"/>
          <w:szCs w:val="32"/>
        </w:rPr>
        <w:t>公众责任险采购项目询价回函</w:t>
      </w:r>
    </w:p>
    <w:p w14:paraId="45756E13">
      <w:pPr>
        <w:widowControl/>
        <w:ind w:firstLine="480" w:firstLineChars="200"/>
        <w:jc w:val="both"/>
        <w:rPr>
          <w:rFonts w:ascii="宋体" w:hAnsi="宋体"/>
          <w:b/>
          <w:sz w:val="24"/>
          <w:szCs w:val="24"/>
        </w:rPr>
      </w:pPr>
      <w:r>
        <w:rPr>
          <w:rFonts w:hint="eastAsia" w:ascii="宋体" w:hAnsi="宋体"/>
          <w:b w:val="0"/>
          <w:bCs/>
          <w:sz w:val="24"/>
          <w:szCs w:val="24"/>
          <w:lang w:val="en-US" w:eastAsia="zh-CN"/>
        </w:rPr>
        <w:t>报价单位：                                          联系人：                      联系电话：</w:t>
      </w:r>
    </w:p>
    <w:tbl>
      <w:tblPr>
        <w:tblStyle w:val="9"/>
        <w:tblW w:w="15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1867"/>
        <w:gridCol w:w="5534"/>
        <w:gridCol w:w="3166"/>
        <w:gridCol w:w="1217"/>
        <w:gridCol w:w="1317"/>
        <w:gridCol w:w="1300"/>
      </w:tblGrid>
      <w:tr w14:paraId="17EA7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blHeader/>
          <w:jc w:val="center"/>
        </w:trPr>
        <w:tc>
          <w:tcPr>
            <w:tcW w:w="767" w:type="dxa"/>
            <w:shd w:val="clear" w:color="auto" w:fill="auto"/>
            <w:vAlign w:val="center"/>
          </w:tcPr>
          <w:p w14:paraId="5758739C">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序号</w:t>
            </w:r>
          </w:p>
        </w:tc>
        <w:tc>
          <w:tcPr>
            <w:tcW w:w="1867" w:type="dxa"/>
            <w:shd w:val="clear" w:color="auto" w:fill="auto"/>
            <w:vAlign w:val="center"/>
          </w:tcPr>
          <w:p w14:paraId="214CEFA3">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保险标的</w:t>
            </w:r>
          </w:p>
        </w:tc>
        <w:tc>
          <w:tcPr>
            <w:tcW w:w="5534" w:type="dxa"/>
            <w:shd w:val="clear" w:color="auto" w:fill="auto"/>
            <w:vAlign w:val="center"/>
          </w:tcPr>
          <w:p w14:paraId="554F8356">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保险责任</w:t>
            </w:r>
          </w:p>
        </w:tc>
        <w:tc>
          <w:tcPr>
            <w:tcW w:w="3166" w:type="dxa"/>
            <w:shd w:val="clear" w:color="auto" w:fill="auto"/>
            <w:vAlign w:val="center"/>
          </w:tcPr>
          <w:p w14:paraId="4F0B5EF6">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rPr>
              <w:t>保险金额</w:t>
            </w:r>
          </w:p>
        </w:tc>
        <w:tc>
          <w:tcPr>
            <w:tcW w:w="1217" w:type="dxa"/>
            <w:tcBorders>
              <w:right w:val="single" w:color="auto" w:sz="4" w:space="0"/>
            </w:tcBorders>
            <w:vAlign w:val="center"/>
          </w:tcPr>
          <w:p w14:paraId="4BDB1C7A">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保险期限</w:t>
            </w:r>
          </w:p>
        </w:tc>
        <w:tc>
          <w:tcPr>
            <w:tcW w:w="1317" w:type="dxa"/>
            <w:tcBorders>
              <w:left w:val="single" w:color="auto" w:sz="4" w:space="0"/>
              <w:right w:val="single" w:color="auto" w:sz="4" w:space="0"/>
            </w:tcBorders>
            <w:vAlign w:val="center"/>
          </w:tcPr>
          <w:p w14:paraId="38DC438F">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每月保险费用（元）</w:t>
            </w:r>
          </w:p>
        </w:tc>
        <w:tc>
          <w:tcPr>
            <w:tcW w:w="1300" w:type="dxa"/>
            <w:tcBorders>
              <w:left w:val="single" w:color="auto" w:sz="4" w:space="0"/>
            </w:tcBorders>
            <w:vAlign w:val="center"/>
          </w:tcPr>
          <w:p w14:paraId="1D2FE123">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合计保险费用（元）</w:t>
            </w:r>
          </w:p>
        </w:tc>
      </w:tr>
      <w:tr w14:paraId="55CF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3" w:hRule="atLeast"/>
          <w:jc w:val="center"/>
        </w:trPr>
        <w:tc>
          <w:tcPr>
            <w:tcW w:w="767" w:type="dxa"/>
            <w:shd w:val="clear" w:color="auto" w:fill="auto"/>
            <w:vAlign w:val="center"/>
          </w:tcPr>
          <w:p w14:paraId="4BF56EFE">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p>
        </w:tc>
        <w:tc>
          <w:tcPr>
            <w:tcW w:w="1867" w:type="dxa"/>
            <w:shd w:val="clear" w:color="auto" w:fill="auto"/>
            <w:vAlign w:val="center"/>
          </w:tcPr>
          <w:p w14:paraId="1172A07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w:t>
            </w:r>
            <w:r>
              <w:rPr>
                <w:rFonts w:hint="eastAsia" w:asciiTheme="minorEastAsia" w:hAnsiTheme="minorEastAsia" w:eastAsiaTheme="minorEastAsia"/>
                <w:sz w:val="21"/>
                <w:szCs w:val="21"/>
                <w:highlight w:val="none"/>
              </w:rPr>
              <w:t>宝安区</w:t>
            </w:r>
            <w:r>
              <w:rPr>
                <w:rFonts w:hint="eastAsia" w:asciiTheme="minorEastAsia" w:hAnsiTheme="minorEastAsia" w:eastAsiaTheme="minorEastAsia"/>
                <w:sz w:val="21"/>
                <w:szCs w:val="21"/>
                <w:highlight w:val="none"/>
                <w:lang w:val="en-US" w:eastAsia="zh-CN"/>
              </w:rPr>
              <w:t>区域内</w:t>
            </w:r>
            <w:r>
              <w:rPr>
                <w:rFonts w:hint="eastAsia" w:cs="Times New Roman" w:asciiTheme="minorEastAsia" w:hAnsiTheme="minorEastAsia" w:eastAsiaTheme="minorEastAsia"/>
                <w:sz w:val="21"/>
                <w:szCs w:val="21"/>
                <w:highlight w:val="none"/>
                <w:lang w:val="zh-CN"/>
              </w:rPr>
              <w:t>63条主河道</w:t>
            </w:r>
            <w:r>
              <w:rPr>
                <w:rFonts w:hint="eastAsia" w:cs="Times New Roman" w:asciiTheme="minorEastAsia" w:hAnsiTheme="minorEastAsia" w:eastAsiaTheme="minorEastAsia"/>
                <w:sz w:val="21"/>
                <w:szCs w:val="21"/>
                <w:highlight w:val="none"/>
                <w:lang w:val="en-US" w:eastAsia="zh-CN"/>
              </w:rPr>
              <w:t>、</w:t>
            </w:r>
            <w:r>
              <w:rPr>
                <w:rFonts w:hint="eastAsia" w:cs="Times New Roman" w:asciiTheme="minorEastAsia" w:hAnsiTheme="minorEastAsia" w:eastAsiaTheme="minorEastAsia"/>
                <w:sz w:val="21"/>
                <w:szCs w:val="21"/>
                <w:highlight w:val="none"/>
                <w:lang w:val="zh-CN"/>
              </w:rPr>
              <w:t>118条支流及排水渠（涵）、</w:t>
            </w:r>
            <w:r>
              <w:rPr>
                <w:rFonts w:hint="eastAsia" w:cs="Times New Roman" w:asciiTheme="minorEastAsia" w:hAnsiTheme="minorEastAsia" w:eastAsiaTheme="minorEastAsia"/>
                <w:sz w:val="21"/>
                <w:szCs w:val="21"/>
                <w:highlight w:val="none"/>
                <w:lang w:val="en-US" w:eastAsia="zh-CN"/>
              </w:rPr>
              <w:t>22.63公里</w:t>
            </w:r>
            <w:r>
              <w:rPr>
                <w:rFonts w:hint="eastAsia" w:cs="Times New Roman" w:asciiTheme="minorEastAsia" w:hAnsiTheme="minorEastAsia" w:eastAsiaTheme="minorEastAsia"/>
                <w:sz w:val="21"/>
                <w:szCs w:val="21"/>
                <w:highlight w:val="none"/>
                <w:lang w:val="zh-CN"/>
              </w:rPr>
              <w:t>海堤、</w:t>
            </w:r>
            <w:r>
              <w:rPr>
                <w:rFonts w:hint="eastAsia" w:cs="Times New Roman" w:asciiTheme="minorEastAsia" w:hAnsiTheme="minorEastAsia" w:eastAsiaTheme="minorEastAsia"/>
                <w:sz w:val="21"/>
                <w:szCs w:val="21"/>
                <w:highlight w:val="none"/>
                <w:lang w:val="en-US" w:eastAsia="zh-CN"/>
              </w:rPr>
              <w:t>75</w:t>
            </w:r>
            <w:r>
              <w:rPr>
                <w:rFonts w:hint="eastAsia" w:cs="Times New Roman" w:asciiTheme="minorEastAsia" w:hAnsiTheme="minorEastAsia" w:eastAsiaTheme="minorEastAsia"/>
                <w:sz w:val="21"/>
                <w:szCs w:val="21"/>
                <w:highlight w:val="none"/>
                <w:lang w:val="zh-CN"/>
              </w:rPr>
              <w:t>座水闸</w:t>
            </w:r>
            <w:r>
              <w:rPr>
                <w:rFonts w:hint="eastAsia" w:cs="Times New Roman" w:asciiTheme="minorEastAsia" w:hAnsiTheme="minorEastAsia" w:eastAsiaTheme="minorEastAsia"/>
                <w:sz w:val="21"/>
                <w:szCs w:val="21"/>
                <w:highlight w:val="none"/>
                <w:lang w:val="en-US" w:eastAsia="zh-CN"/>
              </w:rPr>
              <w:t>及以上场所包含的附属设施</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13403590">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03E23D6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26D956E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7C23225F">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7AAD3C8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7A6235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6DCE4E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2E08F8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7625F1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6A2392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eastAsiaTheme="minorEastAsia"/>
                <w:i w:val="0"/>
                <w:iCs w:val="0"/>
                <w:color w:val="000000"/>
                <w:kern w:val="0"/>
                <w:sz w:val="21"/>
                <w:szCs w:val="21"/>
                <w:u w:val="none"/>
                <w:lang w:val="en-US" w:eastAsia="zh-CN" w:bidi="ar"/>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right w:val="single" w:color="auto" w:sz="4" w:space="0"/>
            </w:tcBorders>
            <w:vAlign w:val="center"/>
          </w:tcPr>
          <w:p w14:paraId="295503B7">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left w:val="single" w:color="auto" w:sz="4" w:space="0"/>
            </w:tcBorders>
            <w:vAlign w:val="center"/>
          </w:tcPr>
          <w:p w14:paraId="30CD7216">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asciiTheme="minorEastAsia" w:hAnsiTheme="minorEastAsia" w:eastAsiaTheme="minorEastAsia"/>
                <w:sz w:val="21"/>
                <w:szCs w:val="21"/>
              </w:rPr>
            </w:pPr>
          </w:p>
        </w:tc>
        <w:tc>
          <w:tcPr>
            <w:tcW w:w="1300" w:type="dxa"/>
            <w:tcBorders>
              <w:bottom w:val="single" w:color="auto" w:sz="4" w:space="0"/>
            </w:tcBorders>
            <w:vAlign w:val="center"/>
          </w:tcPr>
          <w:p w14:paraId="17A5ACF7">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r>
      <w:tr w14:paraId="023E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6" w:hRule="atLeast"/>
          <w:jc w:val="center"/>
        </w:trPr>
        <w:tc>
          <w:tcPr>
            <w:tcW w:w="767" w:type="dxa"/>
            <w:shd w:val="clear" w:color="auto" w:fill="auto"/>
            <w:vAlign w:val="center"/>
          </w:tcPr>
          <w:p w14:paraId="2C636F48">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c>
          <w:tcPr>
            <w:tcW w:w="1867" w:type="dxa"/>
            <w:shd w:val="clear" w:color="auto" w:fill="auto"/>
            <w:vAlign w:val="center"/>
          </w:tcPr>
          <w:p w14:paraId="70267C63">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的宝安区</w:t>
            </w:r>
            <w:r>
              <w:rPr>
                <w:rFonts w:hint="eastAsia" w:cs="Times New Roman" w:asciiTheme="minorEastAsia" w:hAnsiTheme="minorEastAsia" w:eastAsiaTheme="minorEastAsia"/>
                <w:sz w:val="21"/>
                <w:szCs w:val="21"/>
                <w:highlight w:val="none"/>
                <w:lang w:val="zh-CN"/>
              </w:rPr>
              <w:t>共</w:t>
            </w:r>
            <w:r>
              <w:rPr>
                <w:rFonts w:hint="eastAsia" w:cs="Times New Roman" w:asciiTheme="minorEastAsia" w:hAnsiTheme="minorEastAsia" w:eastAsiaTheme="minorEastAsia"/>
                <w:sz w:val="21"/>
                <w:szCs w:val="21"/>
              </w:rPr>
              <w:t>14条碧道及11条绿道</w:t>
            </w:r>
            <w:r>
              <w:rPr>
                <w:rFonts w:hint="eastAsia" w:cs="Times New Roman" w:asciiTheme="minorEastAsia" w:hAnsiTheme="minorEastAsia" w:eastAsiaTheme="minorEastAsia"/>
                <w:sz w:val="21"/>
                <w:szCs w:val="21"/>
                <w:highlight w:val="none"/>
                <w:lang w:val="en-US" w:eastAsia="zh-CN"/>
              </w:rPr>
              <w:t>附属水务设施</w:t>
            </w:r>
            <w:r>
              <w:rPr>
                <w:rFonts w:hint="eastAsia" w:cs="Times New Roman" w:asciiTheme="minorEastAsia" w:hAnsiTheme="minorEastAsia" w:eastAsiaTheme="minorEastAsia"/>
                <w:sz w:val="21"/>
                <w:szCs w:val="21"/>
                <w:highlight w:val="none"/>
                <w:lang w:val="zh-CN"/>
              </w:rPr>
              <w:t>包括亲水平台、停车场、监控室、重要设施、示范段、主题公园、景观节点、服务中心、驿站、园林、水电设施、公厕及设施、文物古迹、历史遗址及碧道沿线设施等</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189BA430">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6F15FCEA">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0110C796">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618282A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4D1A590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63DB41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4B0ECA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06EEE3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2C8C9A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42FCCB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2DF8B6DA">
            <w:pPr>
              <w:keepNext w:val="0"/>
              <w:keepLines w:val="0"/>
              <w:pageBreakBefore w:val="0"/>
              <w:widowControl w:val="0"/>
              <w:kinsoku/>
              <w:wordWrap/>
              <w:overflowPunct/>
              <w:topLinePunct w:val="0"/>
              <w:autoSpaceDE/>
              <w:autoSpaceDN/>
              <w:bidi w:val="0"/>
              <w:adjustRightInd/>
              <w:spacing w:after="78" w:line="240" w:lineRule="auto"/>
              <w:jc w:val="left"/>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293A6E79">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5B5FA3BE">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r>
      <w:tr w14:paraId="2133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67" w:type="dxa"/>
            <w:tcBorders>
              <w:top w:val="single" w:color="auto" w:sz="4" w:space="0"/>
            </w:tcBorders>
            <w:shd w:val="clear" w:color="auto" w:fill="auto"/>
            <w:vAlign w:val="center"/>
          </w:tcPr>
          <w:p w14:paraId="394F3ADE">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p>
        </w:tc>
        <w:tc>
          <w:tcPr>
            <w:tcW w:w="1867" w:type="dxa"/>
            <w:tcBorders>
              <w:top w:val="single" w:color="auto" w:sz="4" w:space="0"/>
            </w:tcBorders>
            <w:shd w:val="clear" w:color="auto" w:fill="auto"/>
            <w:vAlign w:val="center"/>
          </w:tcPr>
          <w:p w14:paraId="3EAC94C4">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cs="Times New Roman" w:asciiTheme="minorEastAsia" w:hAnsiTheme="minorEastAsia" w:eastAsiaTheme="minorEastAsia"/>
                <w:sz w:val="21"/>
                <w:szCs w:val="21"/>
                <w:highlight w:val="none"/>
                <w:lang w:val="en-US" w:eastAsia="zh-CN"/>
              </w:rPr>
              <w:t>5座人工湿地</w:t>
            </w:r>
            <w:r>
              <w:rPr>
                <w:rFonts w:hint="eastAsia" w:ascii="宋体" w:hAnsi="宋体" w:cs="宋体"/>
                <w:kern w:val="0"/>
                <w:highlight w:val="none"/>
                <w:lang w:val="zh-CN"/>
              </w:rPr>
              <w:t>、</w:t>
            </w:r>
            <w:r>
              <w:rPr>
                <w:rFonts w:hint="eastAsia" w:ascii="宋体" w:hAnsi="宋体" w:cs="宋体"/>
                <w:kern w:val="0"/>
                <w:highlight w:val="none"/>
                <w:lang w:val="en-US" w:eastAsia="zh-CN"/>
              </w:rPr>
              <w:t>铁石三期及</w:t>
            </w:r>
            <w:r>
              <w:rPr>
                <w:rFonts w:hint="eastAsia" w:ascii="宋体" w:hAnsi="宋体" w:cs="宋体"/>
                <w:kern w:val="0"/>
                <w:highlight w:val="none"/>
                <w:lang w:val="zh-CN"/>
              </w:rPr>
              <w:t>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7E58CDDC">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599A46A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2C5BAE30">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3964BC81">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7EAF71B3">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0E3524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45196F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6044F7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638CC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60EF1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4E7C1E89">
            <w:pPr>
              <w:keepNext w:val="0"/>
              <w:keepLines w:val="0"/>
              <w:pageBreakBefore w:val="0"/>
              <w:widowControl w:val="0"/>
              <w:kinsoku/>
              <w:wordWrap/>
              <w:overflowPunct/>
              <w:topLinePunct w:val="0"/>
              <w:autoSpaceDE/>
              <w:autoSpaceDN/>
              <w:bidi w:val="0"/>
              <w:adjustRightInd/>
              <w:spacing w:after="78" w:line="240" w:lineRule="auto"/>
              <w:jc w:val="left"/>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16FD5AFE">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5E398398">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asciiTheme="minorEastAsia" w:hAnsiTheme="minorEastAsia" w:eastAsiaTheme="minorEastAsia"/>
                <w:sz w:val="21"/>
                <w:szCs w:val="21"/>
              </w:rPr>
            </w:pPr>
          </w:p>
        </w:tc>
      </w:tr>
      <w:tr w14:paraId="234E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3" w:hRule="atLeast"/>
          <w:jc w:val="center"/>
        </w:trPr>
        <w:tc>
          <w:tcPr>
            <w:tcW w:w="767" w:type="dxa"/>
            <w:shd w:val="clear" w:color="auto" w:fill="auto"/>
            <w:vAlign w:val="center"/>
          </w:tcPr>
          <w:p w14:paraId="05E52CF4">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p>
        </w:tc>
        <w:tc>
          <w:tcPr>
            <w:tcW w:w="1867" w:type="dxa"/>
            <w:shd w:val="clear" w:color="auto" w:fill="auto"/>
            <w:vAlign w:val="center"/>
          </w:tcPr>
          <w:p w14:paraId="7D024365">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6个滞洪区</w:t>
            </w:r>
            <w:r>
              <w:rPr>
                <w:rFonts w:hint="eastAsia" w:ascii="宋体" w:hAnsi="宋体" w:cs="宋体"/>
                <w:kern w:val="0"/>
                <w:highlight w:val="none"/>
                <w:lang w:val="zh-CN"/>
              </w:rPr>
              <w:t>及附属水务设施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7EF9C0F3">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4A998BFE">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48A371F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0D43A58F">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2609064C">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28FDDC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6C6770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1974EC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752936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27856F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08DABE0B">
            <w:pPr>
              <w:keepNext w:val="0"/>
              <w:keepLines w:val="0"/>
              <w:pageBreakBefore w:val="0"/>
              <w:widowControl w:val="0"/>
              <w:kinsoku/>
              <w:wordWrap/>
              <w:overflowPunct/>
              <w:topLinePunct w:val="0"/>
              <w:autoSpaceDE/>
              <w:autoSpaceDN/>
              <w:bidi w:val="0"/>
              <w:adjustRightInd/>
              <w:spacing w:after="78" w:line="240" w:lineRule="auto"/>
              <w:jc w:val="left"/>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0F70AB8B">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1D60123A">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34FF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1" w:hRule="atLeast"/>
          <w:jc w:val="center"/>
        </w:trPr>
        <w:tc>
          <w:tcPr>
            <w:tcW w:w="767" w:type="dxa"/>
            <w:shd w:val="clear" w:color="auto" w:fill="auto"/>
            <w:vAlign w:val="center"/>
          </w:tcPr>
          <w:p w14:paraId="60DF0F8E">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p>
        </w:tc>
        <w:tc>
          <w:tcPr>
            <w:tcW w:w="1867" w:type="dxa"/>
            <w:shd w:val="clear" w:color="auto" w:fill="auto"/>
            <w:vAlign w:val="center"/>
          </w:tcPr>
          <w:p w14:paraId="127A331B">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5730.655千米</w:t>
            </w:r>
            <w:r>
              <w:rPr>
                <w:rFonts w:hint="eastAsia" w:ascii="宋体" w:hAnsi="宋体" w:cs="宋体"/>
                <w:kern w:val="0"/>
                <w:highlight w:val="none"/>
                <w:lang w:val="zh-CN"/>
              </w:rPr>
              <w:t>排水</w:t>
            </w:r>
            <w:r>
              <w:rPr>
                <w:rFonts w:hint="eastAsia" w:ascii="宋体" w:hAnsi="宋体" w:cs="宋体"/>
                <w:kern w:val="0"/>
                <w:highlight w:val="none"/>
                <w:lang w:val="en-US" w:eastAsia="zh-CN"/>
              </w:rPr>
              <w:t>管网</w:t>
            </w:r>
            <w:r>
              <w:rPr>
                <w:rFonts w:hint="eastAsia" w:ascii="宋体" w:hAnsi="宋体" w:cs="宋体"/>
                <w:kern w:val="0"/>
                <w:highlight w:val="none"/>
                <w:lang w:val="zh-CN"/>
              </w:rPr>
              <w:t>（</w:t>
            </w:r>
            <w:r>
              <w:rPr>
                <w:rFonts w:hint="eastAsia" w:ascii="宋体" w:hAnsi="宋体" w:cs="宋体"/>
                <w:kern w:val="0"/>
                <w:highlight w:val="none"/>
                <w:lang w:val="en-US" w:eastAsia="zh-CN"/>
              </w:rPr>
              <w:t>市政排水</w:t>
            </w:r>
            <w:r>
              <w:rPr>
                <w:rFonts w:hint="eastAsia" w:ascii="宋体" w:hAnsi="宋体" w:cs="宋体"/>
                <w:kern w:val="0"/>
                <w:highlight w:val="none"/>
                <w:lang w:val="zh-CN"/>
              </w:rPr>
              <w:t>管网、</w:t>
            </w:r>
            <w:r>
              <w:rPr>
                <w:rFonts w:hint="eastAsia" w:ascii="宋体" w:hAnsi="宋体" w:cs="宋体"/>
                <w:kern w:val="0"/>
                <w:highlight w:val="none"/>
                <w:lang w:val="en-US" w:eastAsia="zh-CN"/>
              </w:rPr>
              <w:t>补水管网</w:t>
            </w:r>
            <w:r>
              <w:rPr>
                <w:rFonts w:hint="eastAsia" w:ascii="宋体" w:hAnsi="宋体" w:cs="宋体"/>
                <w:kern w:val="0"/>
                <w:highlight w:val="none"/>
                <w:lang w:val="zh-CN"/>
              </w:rPr>
              <w:t>）、1</w:t>
            </w:r>
            <w:r>
              <w:rPr>
                <w:rFonts w:hint="eastAsia" w:ascii="宋体" w:hAnsi="宋体" w:cs="宋体"/>
                <w:kern w:val="0"/>
                <w:highlight w:val="none"/>
                <w:lang w:val="en-US" w:eastAsia="zh-CN"/>
              </w:rPr>
              <w:t>51</w:t>
            </w:r>
            <w:r>
              <w:rPr>
                <w:rFonts w:hint="eastAsia" w:ascii="宋体" w:hAnsi="宋体" w:cs="宋体"/>
                <w:kern w:val="0"/>
                <w:highlight w:val="none"/>
                <w:lang w:val="zh-CN"/>
              </w:rPr>
              <w:t>座泵站及</w:t>
            </w:r>
            <w:r>
              <w:rPr>
                <w:rFonts w:hint="eastAsia" w:ascii="宋体" w:hAnsi="宋体" w:cs="宋体"/>
                <w:kern w:val="0"/>
                <w:highlight w:val="none"/>
                <w:lang w:val="en-US" w:eastAsia="zh-CN"/>
              </w:rPr>
              <w:t>78座截污闸以</w:t>
            </w:r>
            <w:r>
              <w:rPr>
                <w:rFonts w:hint="eastAsia" w:cs="Times New Roman" w:asciiTheme="minorEastAsia" w:hAnsiTheme="minorEastAsia" w:eastAsiaTheme="minorEastAsia"/>
                <w:sz w:val="21"/>
                <w:szCs w:val="21"/>
                <w:highlight w:val="none"/>
                <w:lang w:val="en-US" w:eastAsia="zh-CN"/>
              </w:rPr>
              <w:t>上场所包含的</w:t>
            </w:r>
            <w:r>
              <w:rPr>
                <w:rFonts w:hint="eastAsia" w:ascii="宋体" w:hAnsi="宋体" w:cs="宋体"/>
                <w:kern w:val="0"/>
                <w:highlight w:val="none"/>
                <w:lang w:val="zh-CN"/>
              </w:rPr>
              <w:t>附属水务设施</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30C5B326">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64014A04">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5262019E">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7BE2784F">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539E94C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74E92B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0A70A6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435496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6BA165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70A9DE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491ED5CA">
            <w:pPr>
              <w:keepNext w:val="0"/>
              <w:keepLines w:val="0"/>
              <w:pageBreakBefore w:val="0"/>
              <w:widowControl w:val="0"/>
              <w:kinsoku/>
              <w:wordWrap/>
              <w:overflowPunct/>
              <w:topLinePunct w:val="0"/>
              <w:autoSpaceDE/>
              <w:autoSpaceDN/>
              <w:bidi w:val="0"/>
              <w:adjustRightInd/>
              <w:spacing w:after="78" w:line="240" w:lineRule="auto"/>
              <w:jc w:val="left"/>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470A19BB">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3FFA569E">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4290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67" w:type="dxa"/>
            <w:shd w:val="clear" w:color="auto" w:fill="auto"/>
            <w:vAlign w:val="center"/>
          </w:tcPr>
          <w:p w14:paraId="45851638">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w:t>
            </w:r>
          </w:p>
        </w:tc>
        <w:tc>
          <w:tcPr>
            <w:tcW w:w="1867" w:type="dxa"/>
            <w:shd w:val="clear" w:color="auto" w:fill="auto"/>
            <w:vAlign w:val="center"/>
          </w:tcPr>
          <w:p w14:paraId="01864DFA">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zh-CN"/>
              </w:rPr>
              <w:t>4</w:t>
            </w:r>
            <w:r>
              <w:rPr>
                <w:rFonts w:hint="eastAsia" w:ascii="宋体" w:hAnsi="宋体" w:cs="宋体"/>
                <w:kern w:val="0"/>
                <w:highlight w:val="none"/>
                <w:lang w:val="en-US" w:eastAsia="zh-CN"/>
              </w:rPr>
              <w:t>座</w:t>
            </w:r>
            <w:r>
              <w:rPr>
                <w:rFonts w:hint="eastAsia" w:ascii="宋体" w:hAnsi="宋体" w:cs="宋体"/>
                <w:kern w:val="0"/>
                <w:highlight w:val="none"/>
                <w:lang w:val="zh-CN"/>
              </w:rPr>
              <w:t>生态库</w:t>
            </w:r>
            <w:r>
              <w:rPr>
                <w:rFonts w:hint="eastAsia" w:cs="Times New Roman" w:asciiTheme="minorEastAsia" w:hAnsiTheme="minorEastAsia" w:eastAsiaTheme="minorEastAsia"/>
                <w:sz w:val="21"/>
                <w:szCs w:val="21"/>
                <w:highlight w:val="none"/>
                <w:lang w:val="en-US" w:eastAsia="zh-CN"/>
              </w:rPr>
              <w:t>及包含的管网和其他附属设施</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561E2BE5">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42E2133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42C19B26">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52AE19F7">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3E30E54D">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45E0D0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7068EA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67720A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2FB363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235CC0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4902B64E">
            <w:pPr>
              <w:keepNext w:val="0"/>
              <w:keepLines w:val="0"/>
              <w:pageBreakBefore w:val="0"/>
              <w:widowControl w:val="0"/>
              <w:kinsoku/>
              <w:wordWrap/>
              <w:overflowPunct/>
              <w:topLinePunct w:val="0"/>
              <w:autoSpaceDE/>
              <w:autoSpaceDN/>
              <w:bidi w:val="0"/>
              <w:adjustRightInd/>
              <w:spacing w:after="78" w:line="240" w:lineRule="auto"/>
              <w:jc w:val="left"/>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11CE38EC">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7294202D">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5C27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9" w:hRule="atLeast"/>
          <w:jc w:val="center"/>
        </w:trPr>
        <w:tc>
          <w:tcPr>
            <w:tcW w:w="767" w:type="dxa"/>
            <w:shd w:val="clear" w:color="auto" w:fill="auto"/>
            <w:vAlign w:val="center"/>
          </w:tcPr>
          <w:p w14:paraId="756D7275">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w:t>
            </w:r>
          </w:p>
        </w:tc>
        <w:tc>
          <w:tcPr>
            <w:tcW w:w="1867" w:type="dxa"/>
            <w:shd w:val="clear" w:color="auto" w:fill="auto"/>
            <w:vAlign w:val="center"/>
          </w:tcPr>
          <w:p w14:paraId="0CB76EEB">
            <w:pPr>
              <w:keepNext w:val="0"/>
              <w:keepLines w:val="0"/>
              <w:pageBreakBefore w:val="0"/>
              <w:widowControl w:val="0"/>
              <w:kinsoku/>
              <w:wordWrap/>
              <w:overflowPunct/>
              <w:topLinePunct w:val="0"/>
              <w:autoSpaceDE/>
              <w:autoSpaceDN/>
              <w:bidi w:val="0"/>
              <w:adjustRightInd/>
              <w:snapToGrid w:val="0"/>
              <w:spacing w:after="78" w:afterLines="25" w:line="240" w:lineRule="auto"/>
              <w:ind w:firstLine="0" w:firstLineChars="0"/>
              <w:textAlignment w:val="auto"/>
              <w:rPr>
                <w:rFonts w:hint="eastAsia" w:ascii="宋体" w:hAnsi="宋体" w:cs="Courier New"/>
                <w:sz w:val="21"/>
                <w:szCs w:val="21"/>
                <w:highlight w:val="none"/>
                <w:lang w:val="en-US" w:eastAsia="zh-CN"/>
              </w:rPr>
            </w:pPr>
            <w:r>
              <w:rPr>
                <w:rFonts w:hint="eastAsia" w:ascii="宋体" w:hAnsi="宋体"/>
                <w:highlight w:val="none"/>
              </w:rPr>
              <w:t>滨海文化公园海域保洁</w:t>
            </w:r>
            <w:r>
              <w:rPr>
                <w:rFonts w:hint="eastAsia" w:ascii="宋体" w:hAnsi="宋体"/>
                <w:highlight w:val="none"/>
                <w:lang w:val="en-US" w:eastAsia="zh-CN"/>
              </w:rPr>
              <w:t>区域及包含的</w:t>
            </w:r>
            <w:r>
              <w:rPr>
                <w:rFonts w:hint="eastAsia" w:cs="Times New Roman" w:asciiTheme="minorEastAsia" w:hAnsiTheme="minorEastAsia" w:eastAsiaTheme="minorEastAsia"/>
                <w:sz w:val="21"/>
                <w:szCs w:val="21"/>
                <w:highlight w:val="none"/>
                <w:lang w:val="en-US" w:eastAsia="zh-CN"/>
              </w:rPr>
              <w:t>附属设施</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40BE7BA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28B8F0CC">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624C2DA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11473182">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2974F93D">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en-US" w:eastAsia="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1390D1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001101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7AFF60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67D088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4090FD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2FA1CE68">
            <w:pPr>
              <w:keepNext w:val="0"/>
              <w:keepLines w:val="0"/>
              <w:pageBreakBefore w:val="0"/>
              <w:widowControl w:val="0"/>
              <w:kinsoku/>
              <w:wordWrap/>
              <w:overflowPunct/>
              <w:topLinePunct w:val="0"/>
              <w:autoSpaceDE/>
              <w:autoSpaceDN/>
              <w:bidi w:val="0"/>
              <w:adjustRightInd/>
              <w:spacing w:after="78" w:line="240" w:lineRule="auto"/>
              <w:jc w:val="left"/>
              <w:textAlignment w:val="auto"/>
              <w:rPr>
                <w:rFonts w:hint="eastAsia" w:ascii="宋体" w:hAnsi="宋体" w:eastAsia="宋体" w:cs="Arial"/>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34D418A9">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5DCA7251">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1A9A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9" w:hRule="atLeast"/>
          <w:jc w:val="center"/>
        </w:trPr>
        <w:tc>
          <w:tcPr>
            <w:tcW w:w="767" w:type="dxa"/>
            <w:shd w:val="clear" w:color="auto" w:fill="auto"/>
            <w:vAlign w:val="center"/>
          </w:tcPr>
          <w:p w14:paraId="633ABAD3">
            <w:pPr>
              <w:keepNext w:val="0"/>
              <w:keepLines w:val="0"/>
              <w:pageBreakBefore w:val="0"/>
              <w:widowControl w:val="0"/>
              <w:suppressLineNumbers w:val="0"/>
              <w:kinsoku/>
              <w:wordWrap/>
              <w:overflowPunct/>
              <w:topLinePunct w:val="0"/>
              <w:autoSpaceDE/>
              <w:autoSpaceDN/>
              <w:bidi w:val="0"/>
              <w:adjustRightInd/>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w:t>
            </w:r>
          </w:p>
        </w:tc>
        <w:tc>
          <w:tcPr>
            <w:tcW w:w="1867" w:type="dxa"/>
            <w:shd w:val="clear" w:color="auto" w:fill="auto"/>
            <w:vAlign w:val="center"/>
          </w:tcPr>
          <w:p w14:paraId="6F19127B">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cs="Courier New"/>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Theme="minorEastAsia" w:hAnsiTheme="minorEastAsia" w:eastAsiaTheme="minorEastAsia"/>
                <w:sz w:val="21"/>
                <w:szCs w:val="21"/>
                <w:highlight w:val="none"/>
                <w:lang w:val="en-US" w:eastAsia="zh-CN"/>
              </w:rPr>
              <w:t>12762千米小区管网</w:t>
            </w:r>
            <w:r>
              <w:rPr>
                <w:rFonts w:hint="eastAsia" w:ascii="宋体" w:hAnsi="宋体"/>
                <w:highlight w:val="none"/>
                <w:lang w:val="en-US" w:eastAsia="zh-CN"/>
              </w:rPr>
              <w:t>及包含的</w:t>
            </w:r>
            <w:r>
              <w:rPr>
                <w:rFonts w:hint="eastAsia" w:cs="Times New Roman" w:asciiTheme="minorEastAsia" w:hAnsiTheme="minorEastAsia" w:eastAsiaTheme="minorEastAsia"/>
                <w:sz w:val="21"/>
                <w:szCs w:val="21"/>
                <w:highlight w:val="none"/>
                <w:lang w:val="en-US" w:eastAsia="zh-CN"/>
              </w:rPr>
              <w:t>附属设施</w:t>
            </w:r>
            <w:r>
              <w:rPr>
                <w:rFonts w:hint="eastAsia" w:cs="Times New Roman" w:asciiTheme="minorEastAsia" w:hAnsiTheme="minorEastAsia" w:eastAsiaTheme="minorEastAsia"/>
                <w:sz w:val="21"/>
                <w:szCs w:val="21"/>
                <w:lang w:val="en-US" w:eastAsia="zh-CN"/>
              </w:rPr>
              <w:t>（详见项目需求表附件）</w:t>
            </w:r>
          </w:p>
        </w:tc>
        <w:tc>
          <w:tcPr>
            <w:tcW w:w="5534" w:type="dxa"/>
            <w:shd w:val="clear" w:color="auto" w:fill="auto"/>
            <w:vAlign w:val="center"/>
          </w:tcPr>
          <w:p w14:paraId="4CC1EC85">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05221E59">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684BB6CE">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7033858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216DAD58">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cs="Times New Roman" w:asciiTheme="minorEastAsia" w:hAnsiTheme="minorEastAsia" w:eastAsiaTheme="minorEastAsia"/>
                <w:sz w:val="21"/>
                <w:szCs w:val="21"/>
                <w:lang w:val="zh-CN"/>
              </w:rPr>
            </w:pPr>
            <w:r>
              <w:rPr>
                <w:rFonts w:hint="eastAsia" w:ascii="宋体" w:hAnsi="宋体" w:cs="Courier New"/>
                <w:sz w:val="21"/>
                <w:szCs w:val="21"/>
                <w:lang w:val="en-US" w:eastAsia="zh-CN"/>
              </w:rPr>
              <w:t>4、发生保险责任事故后，涉及受损第三者停工、停产、停运等间接损失及费用。</w:t>
            </w:r>
          </w:p>
        </w:tc>
        <w:tc>
          <w:tcPr>
            <w:tcW w:w="3166" w:type="dxa"/>
            <w:shd w:val="clear" w:color="auto" w:fill="auto"/>
            <w:vAlign w:val="center"/>
          </w:tcPr>
          <w:p w14:paraId="30287A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累计赔偿限额：人民币1000万元</w:t>
            </w:r>
            <w:r>
              <w:rPr>
                <w:rFonts w:hint="eastAsia" w:asciiTheme="minorEastAsia" w:hAnsiTheme="minorEastAsia" w:eastAsiaTheme="minorEastAsia"/>
                <w:sz w:val="21"/>
                <w:szCs w:val="21"/>
                <w:lang w:val="en-US" w:eastAsia="zh-CN"/>
              </w:rPr>
              <w:t>；</w:t>
            </w:r>
          </w:p>
          <w:p w14:paraId="6F0EB7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每次事故赔偿限额：人民币500万元</w:t>
            </w:r>
            <w:r>
              <w:rPr>
                <w:rFonts w:hint="eastAsia" w:asciiTheme="minorEastAsia" w:hAnsiTheme="minorEastAsia" w:eastAsiaTheme="minorEastAsia"/>
                <w:sz w:val="21"/>
                <w:szCs w:val="21"/>
                <w:lang w:val="en-US" w:eastAsia="zh-CN"/>
              </w:rPr>
              <w:t>；</w:t>
            </w:r>
          </w:p>
          <w:p w14:paraId="64D022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每人每次事故赔偿限额：人民币100万元</w:t>
            </w:r>
            <w:r>
              <w:rPr>
                <w:rFonts w:hint="eastAsia" w:asciiTheme="minorEastAsia" w:hAnsiTheme="minorEastAsia" w:eastAsiaTheme="minorEastAsia"/>
                <w:sz w:val="21"/>
                <w:szCs w:val="21"/>
                <w:lang w:val="en-US" w:eastAsia="zh-CN"/>
              </w:rPr>
              <w:t>；</w:t>
            </w:r>
          </w:p>
          <w:p w14:paraId="096D68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宋体" w:hAnsi="宋体" w:eastAsia="宋体" w:cs="宋体"/>
                <w:i w:val="0"/>
                <w:iCs w:val="0"/>
                <w:color w:val="000000"/>
                <w:kern w:val="0"/>
                <w:sz w:val="21"/>
                <w:szCs w:val="21"/>
                <w:u w:val="none"/>
                <w:lang w:val="en-US" w:eastAsia="zh-CN" w:bidi="ar"/>
              </w:rPr>
              <w:t>三者间接损失赔偿限额：人民币</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万</w:t>
            </w:r>
            <w:r>
              <w:rPr>
                <w:rFonts w:hint="eastAsia" w:ascii="宋体" w:hAnsi="宋体" w:cs="宋体"/>
                <w:i w:val="0"/>
                <w:iCs w:val="0"/>
                <w:color w:val="000000"/>
                <w:kern w:val="0"/>
                <w:sz w:val="21"/>
                <w:szCs w:val="21"/>
                <w:u w:val="none"/>
                <w:lang w:val="en-US" w:eastAsia="zh-CN" w:bidi="ar"/>
              </w:rPr>
              <w:t>；</w:t>
            </w:r>
          </w:p>
          <w:p w14:paraId="222CA3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heme="minorEastAsia" w:hAnsiTheme="minorEastAsia" w:eastAsiaTheme="minorEastAsia"/>
                <w:sz w:val="21"/>
                <w:szCs w:val="21"/>
                <w:lang w:val="en-US" w:eastAsia="zh-CN"/>
              </w:rPr>
              <w:t>保险期限内</w:t>
            </w:r>
            <w:r>
              <w:rPr>
                <w:rFonts w:hint="eastAsia" w:asciiTheme="minorEastAsia" w:hAnsiTheme="minorEastAsia" w:eastAsiaTheme="minorEastAsia"/>
                <w:sz w:val="21"/>
                <w:szCs w:val="21"/>
              </w:rPr>
              <w:t>零免赔</w:t>
            </w:r>
            <w:r>
              <w:rPr>
                <w:rFonts w:hint="eastAsia" w:asciiTheme="minorEastAsia" w:hAnsiTheme="minorEastAsia" w:eastAsiaTheme="minorEastAsia"/>
                <w:sz w:val="21"/>
                <w:szCs w:val="21"/>
                <w:lang w:eastAsia="zh-CN"/>
              </w:rPr>
              <w:t>。</w:t>
            </w:r>
          </w:p>
        </w:tc>
        <w:tc>
          <w:tcPr>
            <w:tcW w:w="1217" w:type="dxa"/>
            <w:tcBorders>
              <w:top w:val="single" w:color="auto" w:sz="4" w:space="0"/>
              <w:bottom w:val="single" w:color="auto" w:sz="4" w:space="0"/>
            </w:tcBorders>
            <w:shd w:val="clear" w:color="auto" w:fill="auto"/>
            <w:vAlign w:val="center"/>
          </w:tcPr>
          <w:p w14:paraId="3F779FAC">
            <w:pPr>
              <w:keepNext w:val="0"/>
              <w:keepLines w:val="0"/>
              <w:pageBreakBefore w:val="0"/>
              <w:widowControl w:val="0"/>
              <w:kinsoku/>
              <w:wordWrap/>
              <w:overflowPunct/>
              <w:topLinePunct w:val="0"/>
              <w:autoSpaceDE/>
              <w:autoSpaceDN/>
              <w:bidi w:val="0"/>
              <w:adjustRightInd/>
              <w:spacing w:after="78" w:line="240" w:lineRule="auto"/>
              <w:jc w:val="center"/>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c>
          <w:tcPr>
            <w:tcW w:w="1317" w:type="dxa"/>
            <w:tcBorders>
              <w:top w:val="single" w:color="auto" w:sz="4" w:space="0"/>
              <w:bottom w:val="single" w:color="auto" w:sz="4" w:space="0"/>
            </w:tcBorders>
            <w:vAlign w:val="center"/>
          </w:tcPr>
          <w:p w14:paraId="20829D22">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c>
          <w:tcPr>
            <w:tcW w:w="1300" w:type="dxa"/>
            <w:tcBorders>
              <w:top w:val="single" w:color="auto" w:sz="4" w:space="0"/>
              <w:bottom w:val="single" w:color="auto" w:sz="4" w:space="0"/>
            </w:tcBorders>
            <w:vAlign w:val="center"/>
          </w:tcPr>
          <w:p w14:paraId="6C2ACFF7">
            <w:pPr>
              <w:keepNext w:val="0"/>
              <w:keepLines w:val="0"/>
              <w:pageBreakBefore w:val="0"/>
              <w:widowControl w:val="0"/>
              <w:kinsoku/>
              <w:wordWrap/>
              <w:overflowPunct/>
              <w:topLinePunct w:val="0"/>
              <w:autoSpaceDE/>
              <w:autoSpaceDN/>
              <w:bidi w:val="0"/>
              <w:adjustRightInd/>
              <w:spacing w:after="78" w:line="360" w:lineRule="auto"/>
              <w:textAlignment w:val="auto"/>
              <w:rPr>
                <w:rFonts w:asciiTheme="minorEastAsia" w:hAnsiTheme="minorEastAsia" w:eastAsiaTheme="minorEastAsia"/>
                <w:sz w:val="21"/>
                <w:szCs w:val="21"/>
              </w:rPr>
            </w:pPr>
          </w:p>
        </w:tc>
      </w:tr>
      <w:tr w14:paraId="3D32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2634" w:type="dxa"/>
            <w:gridSpan w:val="2"/>
            <w:shd w:val="clear" w:color="auto" w:fill="auto"/>
            <w:vAlign w:val="center"/>
          </w:tcPr>
          <w:p w14:paraId="2AB62DDF">
            <w:pPr>
              <w:keepNext w:val="0"/>
              <w:keepLines w:val="0"/>
              <w:pageBreakBefore w:val="0"/>
              <w:widowControl w:val="0"/>
              <w:kinsoku/>
              <w:wordWrap/>
              <w:overflowPunct/>
              <w:topLinePunct w:val="0"/>
              <w:autoSpaceDE/>
              <w:autoSpaceDN/>
              <w:bidi w:val="0"/>
              <w:adjustRightInd/>
              <w:spacing w:after="78" w:line="360" w:lineRule="auto"/>
              <w:jc w:val="center"/>
              <w:textAlignment w:val="auto"/>
              <w:rPr>
                <w:rFonts w:hint="eastAsia" w:asciiTheme="minorEastAsia" w:hAnsiTheme="minorEastAsia" w:eastAsiaTheme="minorEastAsia"/>
                <w:sz w:val="21"/>
                <w:szCs w:val="21"/>
              </w:rPr>
            </w:pPr>
            <w:r>
              <w:rPr>
                <w:rFonts w:hint="eastAsia" w:asciiTheme="minorEastAsia" w:hAnsiTheme="minorEastAsia" w:eastAsiaTheme="minorEastAsia"/>
                <w:b/>
                <w:bCs/>
                <w:sz w:val="21"/>
                <w:szCs w:val="21"/>
              </w:rPr>
              <w:t>报价总价</w:t>
            </w:r>
            <w:r>
              <w:rPr>
                <w:rFonts w:hint="eastAsia" w:asciiTheme="minorEastAsia" w:hAnsiTheme="minorEastAsia" w:eastAsiaTheme="minorEastAsia"/>
                <w:b/>
                <w:sz w:val="21"/>
                <w:szCs w:val="21"/>
              </w:rPr>
              <w:t>（元）</w:t>
            </w:r>
          </w:p>
        </w:tc>
        <w:tc>
          <w:tcPr>
            <w:tcW w:w="12534" w:type="dxa"/>
            <w:gridSpan w:val="5"/>
            <w:shd w:val="clear" w:color="auto" w:fill="auto"/>
            <w:vAlign w:val="center"/>
          </w:tcPr>
          <w:p w14:paraId="69F517D8">
            <w:pPr>
              <w:keepNext w:val="0"/>
              <w:keepLines w:val="0"/>
              <w:pageBreakBefore w:val="0"/>
              <w:widowControl w:val="0"/>
              <w:kinsoku/>
              <w:wordWrap/>
              <w:overflowPunct/>
              <w:topLinePunct w:val="0"/>
              <w:autoSpaceDE/>
              <w:autoSpaceDN/>
              <w:bidi w:val="0"/>
              <w:adjustRightInd/>
              <w:spacing w:after="78" w:line="360" w:lineRule="auto"/>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小写：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大写：</w:t>
            </w:r>
          </w:p>
        </w:tc>
      </w:tr>
    </w:tbl>
    <w:p w14:paraId="3B6825FF">
      <w:pPr>
        <w:adjustRightInd w:val="0"/>
        <w:snapToGrid w:val="0"/>
        <w:spacing w:after="60"/>
        <w:rPr>
          <w:rFonts w:ascii="宋体" w:hAnsi="宋体"/>
          <w:b/>
          <w:sz w:val="28"/>
          <w:szCs w:val="28"/>
        </w:rPr>
      </w:pPr>
      <w:r>
        <w:rPr>
          <w:rFonts w:hint="eastAsia" w:ascii="宋体" w:hAnsi="宋体"/>
          <w:b/>
          <w:sz w:val="28"/>
          <w:szCs w:val="28"/>
        </w:rPr>
        <w:t>注：</w:t>
      </w:r>
    </w:p>
    <w:p w14:paraId="60E04566">
      <w:pPr>
        <w:adjustRightInd w:val="0"/>
        <w:snapToGrid w:val="0"/>
        <w:spacing w:after="60"/>
        <w:ind w:firstLine="422" w:firstLineChars="200"/>
        <w:rPr>
          <w:rFonts w:ascii="宋体" w:hAnsi="宋体"/>
          <w:szCs w:val="21"/>
        </w:rPr>
      </w:pPr>
      <w:r>
        <w:rPr>
          <w:rFonts w:hint="eastAsia" w:ascii="宋体" w:hAnsi="宋体"/>
          <w:b/>
          <w:szCs w:val="21"/>
        </w:rPr>
        <w:t>1、</w:t>
      </w:r>
      <w:r>
        <w:rPr>
          <w:rFonts w:hint="eastAsia" w:ascii="宋体" w:hAnsi="宋体"/>
          <w:szCs w:val="21"/>
        </w:rPr>
        <w:t>特别说明：潜在投标人本次报价不作为本项目的投标报价，投标人的投标报价以投标人递交的正式投标文件为准。</w:t>
      </w:r>
    </w:p>
    <w:p w14:paraId="5C9FB0BC">
      <w:pPr>
        <w:adjustRightInd w:val="0"/>
        <w:snapToGrid w:val="0"/>
        <w:spacing w:after="60"/>
        <w:ind w:firstLine="420" w:firstLineChars="200"/>
        <w:rPr>
          <w:rFonts w:hint="eastAsia" w:ascii="宋体" w:hAnsi="宋体"/>
          <w:szCs w:val="21"/>
        </w:rPr>
      </w:pPr>
      <w:r>
        <w:rPr>
          <w:rFonts w:hint="eastAsia" w:ascii="宋体" w:hAnsi="宋体"/>
          <w:szCs w:val="21"/>
        </w:rPr>
        <w:t>2、</w:t>
      </w:r>
      <w:r>
        <w:rPr>
          <w:rFonts w:hint="eastAsia" w:ascii="宋体" w:hAnsi="宋体"/>
          <w:b w:val="0"/>
          <w:bCs w:val="0"/>
          <w:szCs w:val="21"/>
          <w:lang w:val="en-US" w:eastAsia="zh-CN"/>
        </w:rPr>
        <w:t>如采购人管养的河道、碧道、绿道、海堤、湿地、泵站、水闸、管网等各类设施量增加10%及以内的，保险人不再另行收费。采购人应及时将新增设施清单发至报价人备案，保险人应及时进行相应保单批改。自保险人接收到采购人新增设施清单后，保险人即日起承担相应保险责任。</w:t>
      </w:r>
      <w:bookmarkStart w:id="0" w:name="_GoBack"/>
      <w:bookmarkEnd w:id="0"/>
    </w:p>
    <w:p w14:paraId="70830E6A">
      <w:pPr>
        <w:adjustRightInd w:val="0"/>
        <w:snapToGrid w:val="0"/>
        <w:spacing w:after="60"/>
        <w:ind w:firstLine="420" w:firstLineChars="200"/>
        <w:rPr>
          <w:rFonts w:ascii="宋体" w:hAnsi="宋体"/>
          <w:szCs w:val="21"/>
        </w:rPr>
      </w:pPr>
      <w:r>
        <w:rPr>
          <w:rFonts w:hint="eastAsia" w:ascii="宋体" w:hAnsi="宋体"/>
          <w:szCs w:val="21"/>
        </w:rPr>
        <w:t>3、“报价方式”以一次报清，报价为货物送达</w:t>
      </w:r>
      <w:r>
        <w:rPr>
          <w:rFonts w:hint="eastAsia" w:ascii="宋体" w:hAnsi="宋体"/>
          <w:szCs w:val="21"/>
          <w:lang w:eastAsia="zh-CN"/>
        </w:rPr>
        <w:t>采购人</w:t>
      </w:r>
      <w:r>
        <w:rPr>
          <w:rFonts w:hint="eastAsia" w:ascii="宋体" w:hAnsi="宋体"/>
          <w:szCs w:val="21"/>
        </w:rPr>
        <w:t>指定地点，并经</w:t>
      </w:r>
      <w:r>
        <w:rPr>
          <w:rFonts w:hint="eastAsia" w:ascii="宋体" w:hAnsi="宋体"/>
          <w:szCs w:val="21"/>
          <w:lang w:eastAsia="zh-CN"/>
        </w:rPr>
        <w:t>采购人</w:t>
      </w:r>
      <w:r>
        <w:rPr>
          <w:rFonts w:hint="eastAsia" w:ascii="宋体" w:hAnsi="宋体"/>
          <w:szCs w:val="21"/>
        </w:rPr>
        <w:t>验收合格所可能发生的费用和售后服务费用，包括技术资料、税金、培训、理赔等一切相关费用。货币形式为人民币。</w:t>
      </w:r>
    </w:p>
    <w:p w14:paraId="142C4654">
      <w:pPr>
        <w:adjustRightInd w:val="0"/>
        <w:snapToGrid w:val="0"/>
        <w:spacing w:after="60"/>
        <w:ind w:firstLine="420" w:firstLineChars="200"/>
        <w:rPr>
          <w:rFonts w:ascii="宋体" w:hAnsi="宋体"/>
          <w:szCs w:val="21"/>
        </w:rPr>
      </w:pPr>
      <w:r>
        <w:rPr>
          <w:rFonts w:hint="eastAsia" w:ascii="宋体" w:hAnsi="宋体"/>
          <w:szCs w:val="21"/>
        </w:rPr>
        <w:t>4、投标报价精确至元。</w:t>
      </w:r>
    </w:p>
    <w:p w14:paraId="48328DAB">
      <w:pPr>
        <w:adjustRightInd w:val="0"/>
        <w:snapToGrid w:val="0"/>
        <w:spacing w:after="60"/>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报价单有效期：90个日历日。</w:t>
      </w:r>
    </w:p>
    <w:p w14:paraId="4FB25C5B">
      <w:pPr>
        <w:adjustRightInd w:val="0"/>
        <w:snapToGrid w:val="0"/>
        <w:spacing w:after="60"/>
        <w:ind w:firstLine="420" w:firstLineChars="200"/>
        <w:rPr>
          <w:rFonts w:ascii="宋体" w:hAnsi="宋体"/>
          <w:szCs w:val="21"/>
        </w:rPr>
      </w:pPr>
    </w:p>
    <w:p w14:paraId="590A5C39">
      <w:pPr>
        <w:ind w:right="900" w:firstLine="420" w:firstLineChars="200"/>
        <w:jc w:val="center"/>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公司名称：</w:t>
      </w:r>
    </w:p>
    <w:p w14:paraId="6B2C538D">
      <w:pPr>
        <w:wordWrap/>
        <w:ind w:right="900" w:firstLine="420" w:firstLineChars="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lang w:eastAsia="zh-CN"/>
        </w:rPr>
        <w:t>（</w:t>
      </w:r>
      <w:r>
        <w:rPr>
          <w:rFonts w:hint="eastAsia" w:ascii="宋体" w:hAnsi="宋体"/>
          <w:sz w:val="21"/>
          <w:szCs w:val="21"/>
          <w:lang w:val="en-US" w:eastAsia="zh-CN"/>
        </w:rPr>
        <w:t>公   章</w:t>
      </w:r>
      <w:r>
        <w:rPr>
          <w:rFonts w:hint="eastAsia" w:ascii="宋体" w:hAnsi="宋体"/>
          <w:sz w:val="21"/>
          <w:szCs w:val="21"/>
          <w:lang w:eastAsia="zh-CN"/>
        </w:rPr>
        <w:t>）：</w:t>
      </w:r>
      <w:r>
        <w:rPr>
          <w:rFonts w:hint="eastAsia" w:ascii="宋体" w:hAnsi="宋体"/>
          <w:sz w:val="21"/>
          <w:szCs w:val="21"/>
        </w:rPr>
        <w:t xml:space="preserve"> </w:t>
      </w:r>
    </w:p>
    <w:p w14:paraId="415C5168">
      <w:pPr>
        <w:ind w:right="1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p>
    <w:p w14:paraId="0C9B77E3">
      <w:pPr>
        <w:ind w:right="480"/>
        <w:jc w:val="left"/>
        <w:rPr>
          <w:rFonts w:ascii="宋体" w:hAnsi="宋体"/>
          <w:sz w:val="24"/>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14:paraId="4317BD8A">
      <w:pPr>
        <w:ind w:right="480"/>
        <w:jc w:val="center"/>
        <w:rPr>
          <w:rFonts w:hint="eastAsia" w:ascii="宋体" w:hAnsi="宋体"/>
          <w:b/>
          <w:bCs/>
          <w:sz w:val="32"/>
          <w:szCs w:val="32"/>
          <w:lang w:val="en-US" w:eastAsia="zh-CN"/>
        </w:rPr>
      </w:pPr>
      <w:r>
        <w:rPr>
          <w:rFonts w:hint="eastAsia" w:ascii="宋体" w:hAnsi="宋体"/>
          <w:b/>
          <w:bCs/>
          <w:sz w:val="32"/>
          <w:szCs w:val="32"/>
          <w:lang w:val="en-US" w:eastAsia="zh-CN"/>
        </w:rPr>
        <w:t>相关材料（需加盖公章）</w:t>
      </w:r>
    </w:p>
    <w:p w14:paraId="3B71D19A">
      <w:pPr>
        <w:numPr>
          <w:ilvl w:val="0"/>
          <w:numId w:val="1"/>
        </w:numPr>
        <w:spacing w:line="360" w:lineRule="auto"/>
        <w:ind w:right="482"/>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营业执照；</w:t>
      </w:r>
    </w:p>
    <w:p w14:paraId="4625732C">
      <w:pPr>
        <w:numPr>
          <w:ilvl w:val="0"/>
          <w:numId w:val="1"/>
        </w:numPr>
        <w:spacing w:line="360" w:lineRule="auto"/>
        <w:ind w:right="482"/>
        <w:jc w:val="left"/>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中华人民共和国保险许可证，许可证的业务范围须包含责任保险的内容</w:t>
      </w:r>
      <w:r>
        <w:rPr>
          <w:rFonts w:hint="eastAsia" w:ascii="宋体" w:hAnsi="宋体"/>
          <w:b w:val="0"/>
          <w:bCs w:val="0"/>
          <w:sz w:val="24"/>
          <w:szCs w:val="24"/>
          <w:lang w:val="en-US" w:eastAsia="zh-CN"/>
        </w:rPr>
        <w:t>；</w:t>
      </w:r>
    </w:p>
    <w:p w14:paraId="255162A9">
      <w:pPr>
        <w:numPr>
          <w:ilvl w:val="0"/>
          <w:numId w:val="1"/>
        </w:numPr>
        <w:spacing w:line="360" w:lineRule="auto"/>
        <w:ind w:right="482"/>
        <w:jc w:val="left"/>
        <w:rPr>
          <w:rFonts w:hint="default" w:ascii="宋体" w:hAnsi="宋体" w:eastAsia="宋体"/>
          <w:b w:val="0"/>
          <w:bCs w:val="0"/>
          <w:sz w:val="24"/>
          <w:lang w:val="en-US" w:eastAsia="zh-CN"/>
        </w:rPr>
      </w:pPr>
      <w:r>
        <w:rPr>
          <w:rFonts w:hint="eastAsia" w:ascii="宋体" w:hAnsi="宋体"/>
          <w:b w:val="0"/>
          <w:bCs w:val="0"/>
          <w:sz w:val="24"/>
          <w:szCs w:val="24"/>
          <w:lang w:val="en-US" w:eastAsia="zh-CN"/>
        </w:rPr>
        <w:t>如是</w:t>
      </w:r>
      <w:r>
        <w:rPr>
          <w:rFonts w:hint="default" w:ascii="宋体" w:hAnsi="宋体" w:eastAsia="宋体"/>
          <w:b w:val="0"/>
          <w:bCs w:val="0"/>
          <w:sz w:val="24"/>
          <w:szCs w:val="24"/>
          <w:lang w:val="en-US" w:eastAsia="zh-CN"/>
        </w:rPr>
        <w:t>法人机构授权的分公司</w:t>
      </w:r>
      <w:r>
        <w:rPr>
          <w:rFonts w:hint="eastAsia" w:ascii="宋体" w:hAnsi="宋体"/>
          <w:b w:val="0"/>
          <w:bCs w:val="0"/>
          <w:sz w:val="24"/>
          <w:szCs w:val="24"/>
          <w:lang w:val="en-US" w:eastAsia="zh-CN"/>
        </w:rPr>
        <w:t>参与报价，需提供总公司的授权书（格式自拟）</w:t>
      </w:r>
      <w:r>
        <w:rPr>
          <w:rFonts w:hint="default" w:ascii="宋体" w:hAnsi="宋体" w:eastAsia="宋体"/>
          <w:b w:val="0"/>
          <w:bCs w:val="0"/>
          <w:sz w:val="24"/>
          <w:szCs w:val="24"/>
          <w:lang w:val="en-US" w:eastAsia="zh-CN"/>
        </w:rPr>
        <w:t>。</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典雅体简">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CE39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56902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056902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354DA"/>
    <w:multiLevelType w:val="singleLevel"/>
    <w:tmpl w:val="FCC354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DdhYzU1ZmNhZTk4NjY0M2E1ZWE3MDllMjdhOGYifQ=="/>
  </w:docVars>
  <w:rsids>
    <w:rsidRoot w:val="00850760"/>
    <w:rsid w:val="00017ECB"/>
    <w:rsid w:val="00022B93"/>
    <w:rsid w:val="000278A0"/>
    <w:rsid w:val="00071148"/>
    <w:rsid w:val="00086312"/>
    <w:rsid w:val="001065A8"/>
    <w:rsid w:val="0011389E"/>
    <w:rsid w:val="00162305"/>
    <w:rsid w:val="002128EB"/>
    <w:rsid w:val="00241038"/>
    <w:rsid w:val="00246B4F"/>
    <w:rsid w:val="0026013F"/>
    <w:rsid w:val="002A39E7"/>
    <w:rsid w:val="002E62FF"/>
    <w:rsid w:val="002F0E35"/>
    <w:rsid w:val="002F7A4B"/>
    <w:rsid w:val="00311B54"/>
    <w:rsid w:val="00315981"/>
    <w:rsid w:val="00317789"/>
    <w:rsid w:val="00321798"/>
    <w:rsid w:val="00354570"/>
    <w:rsid w:val="00356C36"/>
    <w:rsid w:val="0037018E"/>
    <w:rsid w:val="003A4994"/>
    <w:rsid w:val="003E57F6"/>
    <w:rsid w:val="0040287C"/>
    <w:rsid w:val="00410887"/>
    <w:rsid w:val="00431A65"/>
    <w:rsid w:val="00431DD2"/>
    <w:rsid w:val="004558F1"/>
    <w:rsid w:val="004F046F"/>
    <w:rsid w:val="0055005A"/>
    <w:rsid w:val="00554EEA"/>
    <w:rsid w:val="005E48EF"/>
    <w:rsid w:val="00605188"/>
    <w:rsid w:val="006105F6"/>
    <w:rsid w:val="006301E8"/>
    <w:rsid w:val="00653D08"/>
    <w:rsid w:val="00654E1A"/>
    <w:rsid w:val="00657E98"/>
    <w:rsid w:val="006E09B8"/>
    <w:rsid w:val="00772E58"/>
    <w:rsid w:val="00787383"/>
    <w:rsid w:val="007B1F42"/>
    <w:rsid w:val="007F0252"/>
    <w:rsid w:val="00812717"/>
    <w:rsid w:val="00827657"/>
    <w:rsid w:val="00850760"/>
    <w:rsid w:val="00850803"/>
    <w:rsid w:val="00875B6E"/>
    <w:rsid w:val="00881E16"/>
    <w:rsid w:val="00902450"/>
    <w:rsid w:val="00955D69"/>
    <w:rsid w:val="00990250"/>
    <w:rsid w:val="009A5F85"/>
    <w:rsid w:val="009A73B9"/>
    <w:rsid w:val="009B7A44"/>
    <w:rsid w:val="009E63A9"/>
    <w:rsid w:val="009E68B3"/>
    <w:rsid w:val="00AB02A1"/>
    <w:rsid w:val="00B0547C"/>
    <w:rsid w:val="00B12EAB"/>
    <w:rsid w:val="00B80078"/>
    <w:rsid w:val="00BC48F9"/>
    <w:rsid w:val="00C115FF"/>
    <w:rsid w:val="00C26F1F"/>
    <w:rsid w:val="00C35974"/>
    <w:rsid w:val="00C7733B"/>
    <w:rsid w:val="00CC3508"/>
    <w:rsid w:val="00CD3598"/>
    <w:rsid w:val="00CE6580"/>
    <w:rsid w:val="00D7009F"/>
    <w:rsid w:val="00D7076E"/>
    <w:rsid w:val="00D82162"/>
    <w:rsid w:val="00D954D0"/>
    <w:rsid w:val="00DF02E5"/>
    <w:rsid w:val="00DF3111"/>
    <w:rsid w:val="00E00B51"/>
    <w:rsid w:val="00E45691"/>
    <w:rsid w:val="00E54A7B"/>
    <w:rsid w:val="00E9271F"/>
    <w:rsid w:val="00E9320B"/>
    <w:rsid w:val="00EA3747"/>
    <w:rsid w:val="00F97362"/>
    <w:rsid w:val="00FC3919"/>
    <w:rsid w:val="00FE0915"/>
    <w:rsid w:val="00FE7A75"/>
    <w:rsid w:val="06FE5365"/>
    <w:rsid w:val="091166C8"/>
    <w:rsid w:val="0969765C"/>
    <w:rsid w:val="0AEB4FB7"/>
    <w:rsid w:val="10B85FB1"/>
    <w:rsid w:val="119579EC"/>
    <w:rsid w:val="13297488"/>
    <w:rsid w:val="13D25C0A"/>
    <w:rsid w:val="153A500D"/>
    <w:rsid w:val="159A2563"/>
    <w:rsid w:val="1B617245"/>
    <w:rsid w:val="1CF06AD2"/>
    <w:rsid w:val="1E372CF4"/>
    <w:rsid w:val="224D42CC"/>
    <w:rsid w:val="23D04AF7"/>
    <w:rsid w:val="25BB3090"/>
    <w:rsid w:val="28FB4835"/>
    <w:rsid w:val="2E3E3C10"/>
    <w:rsid w:val="2E8829A0"/>
    <w:rsid w:val="30A60707"/>
    <w:rsid w:val="30CA4B44"/>
    <w:rsid w:val="30F30335"/>
    <w:rsid w:val="35021CC3"/>
    <w:rsid w:val="35C45717"/>
    <w:rsid w:val="36826596"/>
    <w:rsid w:val="3DAF5FC2"/>
    <w:rsid w:val="3FA12F4C"/>
    <w:rsid w:val="416318D6"/>
    <w:rsid w:val="45067B7B"/>
    <w:rsid w:val="45594759"/>
    <w:rsid w:val="462F5B27"/>
    <w:rsid w:val="471C2FA0"/>
    <w:rsid w:val="491A440C"/>
    <w:rsid w:val="49B4243D"/>
    <w:rsid w:val="49D73076"/>
    <w:rsid w:val="4CCC72F4"/>
    <w:rsid w:val="4E055CA6"/>
    <w:rsid w:val="4E5C54C6"/>
    <w:rsid w:val="4EA832AE"/>
    <w:rsid w:val="4FC450D1"/>
    <w:rsid w:val="52827EF2"/>
    <w:rsid w:val="52D356C1"/>
    <w:rsid w:val="54DB0556"/>
    <w:rsid w:val="560D3AF8"/>
    <w:rsid w:val="56150D8B"/>
    <w:rsid w:val="565F6E90"/>
    <w:rsid w:val="5866766D"/>
    <w:rsid w:val="5CF23A89"/>
    <w:rsid w:val="644B2AF2"/>
    <w:rsid w:val="64FB1592"/>
    <w:rsid w:val="699821A4"/>
    <w:rsid w:val="6A981709"/>
    <w:rsid w:val="6EA4668B"/>
    <w:rsid w:val="7589415F"/>
    <w:rsid w:val="75A1188D"/>
    <w:rsid w:val="7704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next w:val="4"/>
    <w:qFormat/>
    <w:uiPriority w:val="99"/>
    <w:pPr>
      <w:spacing w:line="360" w:lineRule="auto"/>
      <w:ind w:firstLine="480" w:firstLineChars="200"/>
    </w:pPr>
    <w:rPr>
      <w:rFonts w:ascii="宋体" w:hAnsi="Times New Roman"/>
      <w:bCs/>
      <w:color w:val="0000FF"/>
      <w:sz w:val="24"/>
    </w:rPr>
  </w:style>
  <w:style w:type="paragraph" w:styleId="4">
    <w:name w:val="envelope return"/>
    <w:basedOn w:val="1"/>
    <w:qFormat/>
    <w:uiPriority w:val="99"/>
    <w:pPr>
      <w:snapToGrid w:val="0"/>
    </w:pPr>
    <w:rPr>
      <w:rFonts w:ascii="Arial" w:hAnsi="Arial"/>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paragraph" w:styleId="8">
    <w:name w:val="Body Text First Indent 2"/>
    <w:basedOn w:val="3"/>
    <w:next w:val="1"/>
    <w:qFormat/>
    <w:uiPriority w:val="99"/>
    <w:pPr>
      <w:ind w:firstLine="420"/>
    </w:p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文字 字符"/>
    <w:basedOn w:val="10"/>
    <w:link w:val="2"/>
    <w:semiHidden/>
    <w:qFormat/>
    <w:uiPriority w:val="99"/>
    <w:rPr>
      <w:rFonts w:ascii="Times New Roman" w:hAnsi="Times New Roman" w:eastAsia="宋体" w:cs="Times New Roman"/>
      <w:kern w:val="2"/>
      <w:sz w:val="21"/>
      <w:szCs w:val="24"/>
    </w:rPr>
  </w:style>
  <w:style w:type="character" w:customStyle="1" w:styleId="15">
    <w:name w:val="批注主题 字符"/>
    <w:basedOn w:val="14"/>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4282</Words>
  <Characters>4532</Characters>
  <Lines>4</Lines>
  <Paragraphs>1</Paragraphs>
  <TotalTime>13</TotalTime>
  <ScaleCrop>false</ScaleCrop>
  <LinksUpToDate>false</LinksUpToDate>
  <CharactersWithSpaces>4919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2022-12-09T03:32:00Z</dcterms:created>
  <dc:creator>lianghao</dc:creator>
  <cp:lastModifiedBy>张艳红</cp:lastModifiedBy>
  <cp:lastPrinted>2025-08-15T01:18:00Z</cp:lastPrinted>
  <dcterms:modified xsi:type="dcterms:W3CDTF">2025-08-22T01:24:09Z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334C145098AF4A2DA76300F702138D09_13</vt:lpwstr>
  </property>
  <property fmtid="{D5CDD505-2E9C-101B-9397-08002B2CF9AE}" pid="4" name="KSOTemplateDocerSaveRecord">
    <vt:lpwstr>eyJoZGlkIjoiOGQzMzg0MTJmYjI4NDBjM2NjODliYjFiYWRjYThjOWUiLCJ1c2VySWQiOiIyNTUxNzQ2OTMifQ==</vt:lpwstr>
  </property>
</Properties>
</file>