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909D4">
      <w:pPr>
        <w:pStyle w:val="3"/>
        <w:spacing w:before="101" w:line="220" w:lineRule="auto"/>
        <w:rPr>
          <w:spacing w:val="-6"/>
        </w:rPr>
      </w:pPr>
      <w:bookmarkStart w:id="0" w:name="_GoBack"/>
      <w:r>
        <w:rPr>
          <w:spacing w:val="-6"/>
        </w:rPr>
        <w:t>附件</w:t>
      </w:r>
      <w:r>
        <w:rPr>
          <w:spacing w:val="-6"/>
        </w:rPr>
        <w:t xml:space="preserve"> </w:t>
      </w:r>
      <w:r>
        <w:rPr>
          <w:spacing w:val="-6"/>
        </w:rPr>
        <w:t>1-2：</w:t>
      </w:r>
    </w:p>
    <w:bookmarkEnd w:id="0"/>
    <w:p w14:paraId="2A14F985">
      <w:pPr>
        <w:spacing w:before="86" w:line="222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</w:rPr>
        <w:t>网络与安全能力升级设备采购项目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报价单</w:t>
      </w:r>
    </w:p>
    <w:p w14:paraId="2C9226F7">
      <w:pPr>
        <w:spacing w:before="25"/>
      </w:pPr>
    </w:p>
    <w:p w14:paraId="2E092D43">
      <w:pPr>
        <w:spacing w:before="24"/>
      </w:pPr>
    </w:p>
    <w:p w14:paraId="6E4922DA">
      <w:pPr>
        <w:rPr>
          <w:rFonts w:ascii="Arial"/>
          <w:sz w:val="21"/>
        </w:rPr>
      </w:pPr>
    </w:p>
    <w:p w14:paraId="3FE0C1BC">
      <w:pPr>
        <w:spacing w:line="360" w:lineRule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致：深圳市宝安排水有限公司</w:t>
      </w:r>
    </w:p>
    <w:p w14:paraId="7D45407E">
      <w:pPr>
        <w:spacing w:line="360" w:lineRule="auto"/>
        <w:rPr>
          <w:rFonts w:hint="default" w:ascii="宋体" w:hAnsi="宋体"/>
          <w:sz w:val="21"/>
          <w:szCs w:val="21"/>
          <w:lang w:val="en-US"/>
        </w:rPr>
      </w:pPr>
      <w:r>
        <w:rPr>
          <w:rFonts w:ascii="宋体" w:hAnsi="宋体"/>
          <w:sz w:val="21"/>
          <w:szCs w:val="21"/>
        </w:rPr>
        <w:t>报价单位</w:t>
      </w:r>
      <w:r>
        <w:rPr>
          <w:rFonts w:hint="eastAsia" w:ascii="宋体" w:hAnsi="宋体"/>
          <w:sz w:val="21"/>
          <w:szCs w:val="21"/>
        </w:rPr>
        <w:t>联系人：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 w:val="21"/>
          <w:szCs w:val="21"/>
        </w:rPr>
        <w:t xml:space="preserve">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联系电话：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</w:p>
    <w:p w14:paraId="7C60630C">
      <w:pPr>
        <w:spacing w:line="36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报价单位地址： 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833"/>
        <w:gridCol w:w="856"/>
        <w:gridCol w:w="1275"/>
        <w:gridCol w:w="1046"/>
        <w:gridCol w:w="527"/>
        <w:gridCol w:w="4044"/>
        <w:gridCol w:w="734"/>
        <w:gridCol w:w="686"/>
        <w:gridCol w:w="1278"/>
        <w:gridCol w:w="1264"/>
        <w:gridCol w:w="1040"/>
      </w:tblGrid>
      <w:tr w14:paraId="38CF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06" w:type="pct"/>
            <w:vAlign w:val="center"/>
          </w:tcPr>
          <w:p w14:paraId="045A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94" w:type="pct"/>
            <w:vAlign w:val="center"/>
          </w:tcPr>
          <w:p w14:paraId="486B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302" w:type="pct"/>
            <w:vAlign w:val="center"/>
          </w:tcPr>
          <w:p w14:paraId="3708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品牌</w:t>
            </w:r>
          </w:p>
        </w:tc>
        <w:tc>
          <w:tcPr>
            <w:tcW w:w="450" w:type="pct"/>
            <w:vAlign w:val="center"/>
          </w:tcPr>
          <w:p w14:paraId="3491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</w:t>
            </w:r>
          </w:p>
        </w:tc>
        <w:tc>
          <w:tcPr>
            <w:tcW w:w="1982" w:type="pct"/>
            <w:gridSpan w:val="3"/>
            <w:vAlign w:val="center"/>
          </w:tcPr>
          <w:p w14:paraId="6EA8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说明</w:t>
            </w:r>
          </w:p>
        </w:tc>
        <w:tc>
          <w:tcPr>
            <w:tcW w:w="259" w:type="pct"/>
            <w:vAlign w:val="center"/>
          </w:tcPr>
          <w:p w14:paraId="3852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242" w:type="pct"/>
            <w:vAlign w:val="center"/>
          </w:tcPr>
          <w:p w14:paraId="533E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451" w:type="pct"/>
            <w:vAlign w:val="center"/>
          </w:tcPr>
          <w:p w14:paraId="5335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单价</w:t>
            </w:r>
          </w:p>
        </w:tc>
        <w:tc>
          <w:tcPr>
            <w:tcW w:w="446" w:type="pct"/>
            <w:vAlign w:val="center"/>
          </w:tcPr>
          <w:p w14:paraId="069E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总价</w:t>
            </w:r>
          </w:p>
        </w:tc>
        <w:tc>
          <w:tcPr>
            <w:tcW w:w="364" w:type="pct"/>
            <w:vAlign w:val="center"/>
          </w:tcPr>
          <w:p w14:paraId="5124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5D1A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206" w:type="pct"/>
            <w:vAlign w:val="center"/>
          </w:tcPr>
          <w:p w14:paraId="51C44C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4" w:type="pct"/>
            <w:vAlign w:val="center"/>
          </w:tcPr>
          <w:p w14:paraId="7283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302" w:type="pct"/>
            <w:vAlign w:val="center"/>
          </w:tcPr>
          <w:p w14:paraId="36D3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Align w:val="center"/>
          </w:tcPr>
          <w:p w14:paraId="348310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82" w:type="pct"/>
            <w:gridSpan w:val="3"/>
            <w:vAlign w:val="center"/>
          </w:tcPr>
          <w:p w14:paraId="4D153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1、规格参数：2U，≥6个千兆电口，≥2个万兆光口，≥1个console口，冗余电源，内存≥32G，系统盘≥480G SSD，数据盘≥4TB*3，raid5，日志采集处理速度≥10000EPS，含标准版软件和≥150个日志源授权。含三年产品质保，三年软件升级及三年远程故障支持服务。</w:t>
            </w:r>
          </w:p>
          <w:p w14:paraId="6AEB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2、支持安全设备、网络设备、中间件、服务器、数据库、操作系统、业务系统等不少于26类300种日志对象的日志数据采集。</w:t>
            </w:r>
          </w:p>
          <w:p w14:paraId="0A798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3、支持Syslog、SNMP Trap、Netflow、JDBC、WMI、FTP、SFTP、SCP、文件等方式进行数据采集；支持通过Agent采集日志数据。</w:t>
            </w:r>
          </w:p>
          <w:p w14:paraId="66031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4、支持对日志流量非常大但是日志重要程度低的syslog类型日志源进行限制接收速率，降低对系统资源的占用，保障重要日志的收集。</w:t>
            </w:r>
          </w:p>
          <w:p w14:paraId="216EC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5、支持对每个日志源设置过滤条件规则，自动过滤无用日志。</w:t>
            </w:r>
          </w:p>
          <w:p w14:paraId="0EF9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6、支持根据设备重要程度设置独立设置每个被采集源的日志、报表数据存储时间为1个月、3个月、6个月和永久保存等参数。</w:t>
            </w:r>
          </w:p>
          <w:p w14:paraId="68228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7、支持IPv6/IPv4双栈环境部署，对IPv6/IPv4日志源的日志进行高速采集。</w:t>
            </w:r>
          </w:p>
          <w:p w14:paraId="276F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8、支持为不同类型日志设置不同的查询条件和显示条件。</w:t>
            </w:r>
          </w:p>
        </w:tc>
        <w:tc>
          <w:tcPr>
            <w:tcW w:w="259" w:type="pct"/>
            <w:vAlign w:val="center"/>
          </w:tcPr>
          <w:p w14:paraId="4546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42" w:type="pct"/>
            <w:vAlign w:val="center"/>
          </w:tcPr>
          <w:p w14:paraId="3BA1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51" w:type="pct"/>
            <w:vAlign w:val="center"/>
          </w:tcPr>
          <w:p w14:paraId="0D1F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3D6E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" w:type="pct"/>
            <w:vAlign w:val="center"/>
          </w:tcPr>
          <w:p w14:paraId="25FFBD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E49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" w:type="pct"/>
            <w:vAlign w:val="center"/>
          </w:tcPr>
          <w:p w14:paraId="150BDB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4" w:type="pct"/>
            <w:vAlign w:val="center"/>
          </w:tcPr>
          <w:p w14:paraId="2136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防火墙</w:t>
            </w:r>
          </w:p>
        </w:tc>
        <w:tc>
          <w:tcPr>
            <w:tcW w:w="302" w:type="pct"/>
            <w:vAlign w:val="center"/>
          </w:tcPr>
          <w:p w14:paraId="313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Align w:val="center"/>
          </w:tcPr>
          <w:p w14:paraId="209CD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2" w:type="pct"/>
            <w:gridSpan w:val="3"/>
            <w:vAlign w:val="center"/>
          </w:tcPr>
          <w:p w14:paraId="0B16DB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参数：2U,内存≥16G，系统盘Msata≥8G，机械硬盘≥4T，≥8个千兆电口，≥4个万兆光口,≥2个千兆光插槽，冗余电源,2个扩展槽位,防火墙吞吐≥22G，应用层吞吐量≥16G，并发连接≥500万，每秒新建连接≥10万，FW+IPS吞吐量≥2.2G，FW+AV吞吐量≥2.2G，FW+WAF吞吐量≥1.2G，全威胁吞吐量≥1.8G，IPSECVPN吞吐≥1G，IPSECVPN隧道数≥2000。默认包含应用识别功能，含3年应用特征库升级许可。可扩展IPSECVPN、SSLVPN、三权分立模块、IPS入侵防御、WAF、URL过滤、AV防病毒、僵木蠕、AIS。含三年产品质保，三年软件升级及三年远程故障支持服务。</w:t>
            </w:r>
          </w:p>
          <w:p w14:paraId="2D0E1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2、支持RIP、OSPF、BGP4、QinQ（VLAN VPN）、PIM-SM、PIM-DM。</w:t>
            </w:r>
          </w:p>
          <w:p w14:paraId="081DC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3、支持手动和LACP链路聚合，可根据源/目的MAC、源/目的IP、源/目的端口、五元组、端口轮询等条件提供不少于10种链路负载算法。</w:t>
            </w:r>
          </w:p>
          <w:p w14:paraId="04EC9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4、支持策略略路由，支持根据入接口、源/目的IP地址、协议、用户、应用、选路算法、探测等多种条件设置策略路由。</w:t>
            </w:r>
          </w:p>
          <w:p w14:paraId="3BC1E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5、支持IP/MAC绑定，支持跨三层绑定，支持IP/MAC绑定表导入导出，以便对IP/MAC绑定关系进行批量操作。</w:t>
            </w:r>
          </w:p>
          <w:p w14:paraId="35BC1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6、支持多种地址转换，支持源/目的NAT、双向NAT、NoNAT转换方式；支持源IP转换同一性；支持端口块地址转换和EIM地址转换。</w:t>
            </w:r>
          </w:p>
          <w:p w14:paraId="3E28C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7、支持RADVD、ND、RIPng、OSPFv3、BGP4+，支持IPv6静态、动态组播路由。支持NAT64、NAT46、NAT66地址转换，支持6to4隧道、ISATAP隧道。</w:t>
            </w:r>
          </w:p>
          <w:p w14:paraId="07099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8、支持IPv6域名控制，支持对多级域名进行控制，域名对象支持通配符。</w:t>
            </w:r>
          </w:p>
          <w:p w14:paraId="1851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9、支持NTP DDOS防护，采用阀值检查、源/目的限流、源认证等方式综合进行NTP QUERY FLOOD、NTP REPLY FLOOD攻击防护。</w:t>
            </w:r>
          </w:p>
        </w:tc>
        <w:tc>
          <w:tcPr>
            <w:tcW w:w="259" w:type="pct"/>
            <w:vAlign w:val="center"/>
          </w:tcPr>
          <w:p w14:paraId="75DB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42" w:type="pct"/>
            <w:vAlign w:val="center"/>
          </w:tcPr>
          <w:p w14:paraId="7AB8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51" w:type="pct"/>
            <w:vAlign w:val="center"/>
          </w:tcPr>
          <w:p w14:paraId="7B84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446" w:type="pct"/>
            <w:vAlign w:val="center"/>
          </w:tcPr>
          <w:p w14:paraId="6260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4" w:type="pct"/>
            <w:vAlign w:val="center"/>
          </w:tcPr>
          <w:p w14:paraId="35C65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EC6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" w:type="pct"/>
            <w:vAlign w:val="center"/>
          </w:tcPr>
          <w:p w14:paraId="2C3F61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4" w:type="pct"/>
            <w:vAlign w:val="center"/>
          </w:tcPr>
          <w:p w14:paraId="71BC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24口全光万兆交换机</w:t>
            </w:r>
          </w:p>
        </w:tc>
        <w:tc>
          <w:tcPr>
            <w:tcW w:w="302" w:type="pct"/>
            <w:vAlign w:val="center"/>
          </w:tcPr>
          <w:p w14:paraId="2EB0A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Align w:val="center"/>
          </w:tcPr>
          <w:p w14:paraId="66947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82" w:type="pct"/>
            <w:gridSpan w:val="3"/>
            <w:vAlign w:val="center"/>
          </w:tcPr>
          <w:p w14:paraId="50D3E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1、规格参数：1U，≥</w:t>
            </w:r>
            <w:r>
              <w:rPr>
                <w:rStyle w:val="10"/>
                <w:snapToGrid w:val="0"/>
                <w:color w:val="000000"/>
                <w:sz w:val="21"/>
                <w:szCs w:val="21"/>
                <w:lang w:val="en-US" w:eastAsia="zh-CN" w:bidi="ar"/>
              </w:rPr>
              <w:t>24个万兆SFP+,</w:t>
            </w: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10"/>
                <w:snapToGrid w:val="0"/>
                <w:color w:val="000000"/>
                <w:sz w:val="21"/>
                <w:szCs w:val="21"/>
                <w:lang w:val="en-US" w:eastAsia="zh-CN" w:bidi="ar"/>
              </w:rPr>
              <w:t>6个100GE QSFP28,含1个600W交流电源，</w:t>
            </w: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10"/>
                <w:snapToGrid w:val="0"/>
                <w:color w:val="000000"/>
                <w:sz w:val="21"/>
                <w:szCs w:val="21"/>
                <w:lang w:val="en-US" w:eastAsia="zh-CN" w:bidi="ar"/>
              </w:rPr>
              <w:t>24个万兆多模光模块  OMXD30000，</w:t>
            </w: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10"/>
                <w:snapToGrid w:val="0"/>
                <w:color w:val="000000"/>
                <w:sz w:val="21"/>
                <w:szCs w:val="21"/>
                <w:lang w:val="en-US" w:eastAsia="zh-CN" w:bidi="ar"/>
              </w:rPr>
              <w:t>2个100G多模光模块。</w:t>
            </w: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提供三年产品</w:t>
            </w:r>
            <w:r>
              <w:rPr>
                <w:rStyle w:val="11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质保</w:t>
            </w:r>
            <w:r>
              <w:rPr>
                <w:rStyle w:val="11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259" w:type="pct"/>
            <w:vAlign w:val="center"/>
          </w:tcPr>
          <w:p w14:paraId="218F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42" w:type="pct"/>
            <w:vAlign w:val="center"/>
          </w:tcPr>
          <w:p w14:paraId="463C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51" w:type="pct"/>
            <w:vAlign w:val="center"/>
          </w:tcPr>
          <w:p w14:paraId="78CC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446" w:type="pct"/>
            <w:vAlign w:val="center"/>
          </w:tcPr>
          <w:p w14:paraId="0B57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4" w:type="pct"/>
            <w:vAlign w:val="center"/>
          </w:tcPr>
          <w:p w14:paraId="27A5A1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9DE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" w:type="pct"/>
            <w:vAlign w:val="center"/>
          </w:tcPr>
          <w:p w14:paraId="100FC8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4" w:type="pct"/>
            <w:vAlign w:val="center"/>
          </w:tcPr>
          <w:p w14:paraId="5311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数据库审计</w:t>
            </w:r>
          </w:p>
        </w:tc>
        <w:tc>
          <w:tcPr>
            <w:tcW w:w="302" w:type="pct"/>
            <w:vAlign w:val="center"/>
          </w:tcPr>
          <w:p w14:paraId="7C013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Align w:val="center"/>
          </w:tcPr>
          <w:p w14:paraId="6F8B2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82" w:type="pct"/>
            <w:gridSpan w:val="3"/>
            <w:vAlign w:val="center"/>
          </w:tcPr>
          <w:p w14:paraId="1612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1、规格参数：2U,内存≥16G，机械硬盘≥1T，≥6个千兆电口(1个管理，1个HA)，≥4个千兆光口,冗余电源,吞吐≥600Mbps，可审计流量≥150Mbps，峰值SQL处理能力≥4000条/s，日处理能力≥600万条。</w:t>
            </w:r>
          </w:p>
          <w:p w14:paraId="0E27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默认含应用规则库（免费），默认含3年攻击检测规则库、僵尸主机规则库升级许可,默认一个Agent授权；最高支持10个Agent授权；可扩展网络审计模块。含三年产品质保，三年软件升级及三年远程故障支持服务。</w:t>
            </w:r>
          </w:p>
          <w:p w14:paraId="0928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2、支持细粒度解析40+种数据库协议，包括关系型数据库、NoSQL、国产化数据库等。</w:t>
            </w:r>
          </w:p>
          <w:p w14:paraId="4E5AE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3、支持Oracle、SQLServer、MySQL、DB2、Sybase、Informix、PostgreSQL、Teradata等数据库系统。</w:t>
            </w:r>
          </w:p>
          <w:p w14:paraId="1FD61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4、支持Cache、Hive、Hana、clickhouse、Tibero、Solr、MongoDB、HBase、ElasticSearch、Redis等国际主流数据库系统。</w:t>
            </w:r>
          </w:p>
          <w:p w14:paraId="236B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5、支持KingBase、DaMeng、Oscar、GBase、Inspur_KDB、Highgo、GaussDB等国内主流数据库系统。</w:t>
            </w:r>
          </w:p>
          <w:p w14:paraId="34C9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6、支持HTTP、Telnet、FTP、Rlogin的审计；支持工控协议Modbus的审计。</w:t>
            </w:r>
          </w:p>
          <w:p w14:paraId="5DDF8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7、多个维度展示错误占比及趋势，从源IP维度以柱状图展示SQL错误数。</w:t>
            </w:r>
          </w:p>
          <w:p w14:paraId="3BF4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8、支持历史版本回退功能，系统内建历史版本库不少于3个。安全操作系统采用冗余设计，可在设备命令行启动过程中选择主备系统。</w:t>
            </w:r>
          </w:p>
        </w:tc>
        <w:tc>
          <w:tcPr>
            <w:tcW w:w="259" w:type="pct"/>
            <w:vAlign w:val="center"/>
          </w:tcPr>
          <w:p w14:paraId="4A06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42" w:type="pct"/>
            <w:vAlign w:val="center"/>
          </w:tcPr>
          <w:p w14:paraId="6A84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51" w:type="pct"/>
            <w:vAlign w:val="center"/>
          </w:tcPr>
          <w:p w14:paraId="32DC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446" w:type="pct"/>
            <w:vAlign w:val="center"/>
          </w:tcPr>
          <w:p w14:paraId="27A5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4" w:type="pct"/>
            <w:vAlign w:val="center"/>
          </w:tcPr>
          <w:p w14:paraId="116179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389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" w:type="pct"/>
            <w:vAlign w:val="center"/>
          </w:tcPr>
          <w:p w14:paraId="0CDA8B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4" w:type="pct"/>
            <w:vAlign w:val="center"/>
          </w:tcPr>
          <w:p w14:paraId="2A8E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网络安全态势感知系统</w:t>
            </w:r>
          </w:p>
        </w:tc>
        <w:tc>
          <w:tcPr>
            <w:tcW w:w="302" w:type="pct"/>
            <w:vAlign w:val="center"/>
          </w:tcPr>
          <w:p w14:paraId="78E52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Align w:val="center"/>
          </w:tcPr>
          <w:p w14:paraId="6B0C0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82" w:type="pct"/>
            <w:gridSpan w:val="3"/>
            <w:vAlign w:val="center"/>
          </w:tcPr>
          <w:p w14:paraId="31360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1、规格参数：2U，冗余电源，内存≥128G，硬盘≥32T，≥6千兆电口，≥2万兆光口SFP+，日接入日志量≥2.5亿条/天，峰值EPS≥12000条/秒，在带宽性能1Gbps时存储时长≥900天/1Gbps。含三年产品质保，三年软件升级及三年远程故障支持服务。</w:t>
            </w: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2、支持勒索专项检测页面，帮助客户更好的应对日益严峻的勒索风险，支持对勒索主题的安全告警进行统一展示和管理，支持以勒索病毒的感染途径/方式为维度进行分类，包括勒索常用端口、勒索常用漏洞、RDP爆破、感染勒索病毒、黑客勒索攻击、勒索C&amp;C通信等维度，支持展示受害资产以及受害资产攻击数TOP5，支持以列表的形式展示勒索事件，包括最近发生时间、威胁描述、威胁定性、勒索风险、威胁等级、受害者IP、攻击次数等信息。</w:t>
            </w:r>
          </w:p>
          <w:p w14:paraId="7E37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3、支持告警总数、处置率、处置情况、告警类型排行、告警趋势、最新告警、告警处置人分布等信息展示，并支持下钻。</w:t>
            </w:r>
          </w:p>
          <w:p w14:paraId="2EEC2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4、支持恶意程序类型概况、恶意程序传播源排行、恶意程序趋势、被攻击服务器排行、被攻击终端排行、恶意程序传播次数排行、被感染资产排行等信息展示。</w:t>
            </w:r>
          </w:p>
          <w:p w14:paraId="0D6D0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5、支持多维度恶意程序感染分析，包括但不限于木马、蠕虫、僵尸程序、勒索软件、挖矿等维度，支持展示各类恶意程序数量和占比，支持多维度轮播展示及开关控制，支持以关系图形式展示恶意程序攻击和感染路径，支持关系图缩放。</w:t>
            </w:r>
          </w:p>
          <w:p w14:paraId="711D4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6、支持全网恶意程序趋势动态监测，监测角度包括恶意程序传播源排行、恶意程序趋势、被攻击服务器排行、被攻击终端排行、恶意程序传播次数排行、被感染资产排行等。</w:t>
            </w:r>
          </w:p>
          <w:p w14:paraId="5A7CC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7、支持工单管理，支持指派相关责任人进行处理，支持对工单进行分组管理，分组类型包括我的工单、待处置工单、已处置工单、历史工单。</w:t>
            </w:r>
          </w:p>
          <w:p w14:paraId="112C6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8、支持在待处理工单分组中处理、查看流程图等操作，支持处理工单中工单信息查看、日志信息查看、历史处理信息处理操作。</w:t>
            </w:r>
          </w:p>
          <w:p w14:paraId="4B0A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9、支持web登录结果自定义，可根据登录行为检测是否登录成功，支持基于响应状态码、响应内容格式、URL、关键字、服务器IP地址、所属资产组等信息判定成功或失败的通用规则设置，支持机器学习引擎持续学习用户登录行为，生成登录成功规则模型。</w:t>
            </w:r>
          </w:p>
          <w:p w14:paraId="5B65A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10、支持可视化的形式展示威胁的影响面，通过大数据分析和关联检索技术，可清晰直观看清失陷主机对其他主机的影响，评估受损情况，方便客户快速处置。支持通过首页搜索框输入IP/域名/URL/端口/通信对进行搜索，支持基于列表模式展示横向攻击、违规访问、风险访问、可疑行为、正常访问等详细信息，建立全方位的持续性的检测能力。支持入口点溯源功能，分析出首次失陷、疑似入口点、首次遭受攻击等信息，帮助管理人员快速找到攻击入口点。</w:t>
            </w:r>
          </w:p>
          <w:p w14:paraId="784AD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11、支持EBA实体行为分析功能，通过对这些对象进行持续的行为分析和行为画像构建，识别服务器异常，包括DGA解析请求、外联C&amp;C服务器、异常协议利用、下载可疑文件、异常横向访问等。</w:t>
            </w:r>
          </w:p>
          <w:p w14:paraId="367BEE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12、为实现安全事件的快速闭环处置，要求支持与同品牌防火墙、行为管理、超融合、应用交付、网络控制器、端点安全管理系统等自有设备进行联动，实现效果包含联动封锁、访问控制、上网提醒、冻结账号、一键查杀等，并可联动超融合进行关机、挂起等。</w:t>
            </w:r>
          </w:p>
        </w:tc>
        <w:tc>
          <w:tcPr>
            <w:tcW w:w="259" w:type="pct"/>
            <w:vAlign w:val="center"/>
          </w:tcPr>
          <w:p w14:paraId="27B7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42" w:type="pct"/>
            <w:vAlign w:val="center"/>
          </w:tcPr>
          <w:p w14:paraId="5930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51" w:type="pct"/>
            <w:vAlign w:val="center"/>
          </w:tcPr>
          <w:p w14:paraId="730F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446" w:type="pct"/>
            <w:vAlign w:val="center"/>
          </w:tcPr>
          <w:p w14:paraId="082A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4" w:type="pct"/>
            <w:vAlign w:val="center"/>
          </w:tcPr>
          <w:p w14:paraId="5DD971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4B7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6" w:type="pct"/>
            <w:vAlign w:val="center"/>
          </w:tcPr>
          <w:p w14:paraId="55F342C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94" w:type="pct"/>
            <w:vAlign w:val="center"/>
          </w:tcPr>
          <w:p w14:paraId="6858A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APT安全监测系统</w:t>
            </w:r>
          </w:p>
        </w:tc>
        <w:tc>
          <w:tcPr>
            <w:tcW w:w="302" w:type="pct"/>
            <w:vAlign w:val="center"/>
          </w:tcPr>
          <w:p w14:paraId="25EBE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Align w:val="center"/>
          </w:tcPr>
          <w:p w14:paraId="10F9D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82" w:type="pct"/>
            <w:gridSpan w:val="3"/>
            <w:vAlign w:val="center"/>
          </w:tcPr>
          <w:p w14:paraId="7ACE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1、规格参数：1U，硬盘容量≥480G SSD，内存≥16G，≥6千兆电口，≥2万兆光口SFP+，单电源，网络层吞吐量≥3G，应用层吞吐量≥1.2G。</w:t>
            </w:r>
          </w:p>
          <w:p w14:paraId="29890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2、支持恶意文件检测，采用固网恶意程序检测智慧引擎、移动恶意程序检测智慧引擎、沙箱、YARA、文件类威胁情报等多种检测方式。</w:t>
            </w:r>
          </w:p>
          <w:p w14:paraId="2CDC9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3、支持检测多种僵尸主机类型，包括:僵尸网络、木马控制、蠕虫、挖矿、勒索、移动端木马控制、APT等。</w:t>
            </w:r>
          </w:p>
          <w:p w14:paraId="54338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4、采用固网恶意程序检测智慧引擎、移动恶意程序检测智慧引擎，不依赖规则库即可实现对未知恶意程序检测。</w:t>
            </w:r>
          </w:p>
          <w:p w14:paraId="02022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5、支持DGA恶意域名检测，采用DGA恶意域名检测智慧引擎检测。</w:t>
            </w:r>
          </w:p>
          <w:p w14:paraId="7A3BA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6、支持通过智慧引擎检测未知威胁，发现已知APT攻击行为和已知APT组织。</w:t>
            </w:r>
          </w:p>
          <w:p w14:paraId="0960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default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7、支持注入和WEBSHELL攻击检测，包括：SQL注入检测、SQI注入检测智慧引擎、XSS攻击检测智慧引擎、命令注入检测智慧引擎、WEBSHELL上传检测智慧引擎、HTTP隧道检测智慧引擎。</w:t>
            </w:r>
          </w:p>
          <w:p w14:paraId="11500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8、支持命令注入检测、PHP代码检测、XSS攻击检测、Webshell上传检测、SQL注入检测、XXE攻击检测、JAVA代码检测、SQL非注入型检测、MYSQL解析增强、php反序列化检测等自定义配置启用，针对命令注入检测、SQL注入检测等类型支持自定义高检出、低误报模式。</w:t>
            </w:r>
          </w:p>
          <w:p w14:paraId="01311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9、支持流量抓包分析，基于五元组灵活抓取数据包，可定义配置源IP、源端口、目的IP和目的端口、传输层协议选择添加抓包任务，并支持带标签抓取vlan、mpls等协议数据包，帮助安全工程师高效分析威胁。</w:t>
            </w:r>
          </w:p>
        </w:tc>
        <w:tc>
          <w:tcPr>
            <w:tcW w:w="259" w:type="pct"/>
            <w:vAlign w:val="center"/>
          </w:tcPr>
          <w:p w14:paraId="6B95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242" w:type="pct"/>
            <w:vAlign w:val="center"/>
          </w:tcPr>
          <w:p w14:paraId="3776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51" w:type="pct"/>
            <w:vAlign w:val="center"/>
          </w:tcPr>
          <w:p w14:paraId="381A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446" w:type="pct"/>
            <w:vAlign w:val="center"/>
          </w:tcPr>
          <w:p w14:paraId="32D1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4" w:type="pct"/>
            <w:vAlign w:val="center"/>
          </w:tcPr>
          <w:p w14:paraId="2610C6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FA4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6" w:type="pct"/>
            <w:vAlign w:val="center"/>
          </w:tcPr>
          <w:p w14:paraId="6396B9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94" w:type="pct"/>
            <w:vAlign w:val="center"/>
          </w:tcPr>
          <w:p w14:paraId="3E01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302" w:type="pct"/>
            <w:vAlign w:val="center"/>
          </w:tcPr>
          <w:p w14:paraId="145B7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Align w:val="center"/>
          </w:tcPr>
          <w:p w14:paraId="0DC9E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82" w:type="pct"/>
            <w:gridSpan w:val="3"/>
            <w:vAlign w:val="center"/>
          </w:tcPr>
          <w:p w14:paraId="5D3B3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1、15条万兆光纤跳线，15条千兆光纤跳线，20条网络跳线，14个万兆光模块，6个千兆光模块等。</w:t>
            </w:r>
          </w:p>
        </w:tc>
        <w:tc>
          <w:tcPr>
            <w:tcW w:w="259" w:type="pct"/>
            <w:vAlign w:val="center"/>
          </w:tcPr>
          <w:p w14:paraId="3CBD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42" w:type="pct"/>
            <w:vAlign w:val="center"/>
          </w:tcPr>
          <w:p w14:paraId="0D82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vAlign w:val="center"/>
          </w:tcPr>
          <w:p w14:paraId="2E3A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446" w:type="pct"/>
            <w:vAlign w:val="center"/>
          </w:tcPr>
          <w:p w14:paraId="3E15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4" w:type="pct"/>
            <w:vAlign w:val="center"/>
          </w:tcPr>
          <w:p w14:paraId="7074CF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80E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" w:type="pct"/>
            <w:vAlign w:val="center"/>
          </w:tcPr>
          <w:p w14:paraId="3AB4A2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94" w:type="pct"/>
            <w:vAlign w:val="center"/>
          </w:tcPr>
          <w:p w14:paraId="7272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302" w:type="pct"/>
            <w:vAlign w:val="center"/>
          </w:tcPr>
          <w:p w14:paraId="4928D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Align w:val="center"/>
          </w:tcPr>
          <w:p w14:paraId="3F0CF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82" w:type="pct"/>
            <w:gridSpan w:val="3"/>
            <w:vAlign w:val="center"/>
          </w:tcPr>
          <w:p w14:paraId="723B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1、满足系统安装调试及使用要求。</w:t>
            </w:r>
          </w:p>
        </w:tc>
        <w:tc>
          <w:tcPr>
            <w:tcW w:w="259" w:type="pct"/>
            <w:vAlign w:val="center"/>
          </w:tcPr>
          <w:p w14:paraId="753C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42" w:type="pct"/>
            <w:vAlign w:val="center"/>
          </w:tcPr>
          <w:p w14:paraId="123D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vAlign w:val="center"/>
          </w:tcPr>
          <w:p w14:paraId="58EC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446" w:type="pct"/>
            <w:vAlign w:val="center"/>
          </w:tcPr>
          <w:p w14:paraId="4BB7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4" w:type="pct"/>
            <w:vAlign w:val="center"/>
          </w:tcPr>
          <w:p w14:paraId="7663E8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35F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" w:type="pct"/>
            <w:vAlign w:val="center"/>
          </w:tcPr>
          <w:p w14:paraId="77EED64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合计:</w:t>
            </w:r>
          </w:p>
        </w:tc>
        <w:tc>
          <w:tcPr>
            <w:tcW w:w="1601" w:type="pct"/>
            <w:gridSpan w:val="5"/>
            <w:vAlign w:val="center"/>
          </w:tcPr>
          <w:p w14:paraId="7CCD1F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91" w:type="pct"/>
            <w:gridSpan w:val="6"/>
            <w:vAlign w:val="center"/>
          </w:tcPr>
          <w:p w14:paraId="4C7E9F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小写：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（大写：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）</w:t>
            </w:r>
          </w:p>
        </w:tc>
      </w:tr>
      <w:tr w14:paraId="752F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621" w:type="pct"/>
            <w:gridSpan w:val="5"/>
            <w:vAlign w:val="top"/>
          </w:tcPr>
          <w:p w14:paraId="5E72972D">
            <w:pPr>
              <w:spacing w:line="240" w:lineRule="auto"/>
              <w:jc w:val="both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378" w:type="pct"/>
            <w:gridSpan w:val="7"/>
            <w:vAlign w:val="top"/>
          </w:tcPr>
          <w:p w14:paraId="698C7A61">
            <w:pPr>
              <w:tabs>
                <w:tab w:val="left" w:pos="7560"/>
              </w:tabs>
              <w:spacing w:line="5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注：</w:t>
            </w:r>
          </w:p>
          <w:p w14:paraId="4206B2C4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1.本项目质保期为3年；</w:t>
            </w:r>
          </w:p>
          <w:p w14:paraId="49DE8838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2.上述价格包含设备及安装服务费税率，开具发票类型为增值税专用发票；</w:t>
            </w:r>
          </w:p>
          <w:p w14:paraId="7DB1E8C4">
            <w:pPr>
              <w:spacing w:line="240" w:lineRule="auto"/>
              <w:jc w:val="both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3.本报价单有效期180天。</w:t>
            </w:r>
          </w:p>
        </w:tc>
      </w:tr>
    </w:tbl>
    <w:p w14:paraId="3E7DF20B">
      <w:pPr>
        <w:spacing w:before="156" w:beforeLines="50" w:line="360" w:lineRule="auto"/>
        <w:ind w:left="630" w:hanging="630" w:hangingChars="300"/>
        <w:rPr>
          <w:rFonts w:hint="eastAsia" w:ascii="宋体" w:hAnsi="宋体"/>
          <w:szCs w:val="21"/>
        </w:rPr>
      </w:pPr>
    </w:p>
    <w:p w14:paraId="0E5A7971">
      <w:pPr>
        <w:spacing w:line="360" w:lineRule="auto"/>
        <w:rPr>
          <w:rFonts w:ascii="宋体" w:hAnsi="宋体"/>
          <w:sz w:val="21"/>
          <w:szCs w:val="21"/>
        </w:rPr>
      </w:pPr>
    </w:p>
    <w:p w14:paraId="0BC57FDA">
      <w:pPr>
        <w:wordWrap w:val="0"/>
        <w:spacing w:line="360" w:lineRule="auto"/>
        <w:ind w:right="420" w:rightChars="200" w:firstLine="7770" w:firstLineChars="37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报价单位：</w:t>
      </w:r>
    </w:p>
    <w:p w14:paraId="39AF1314">
      <w:pPr>
        <w:wordWrap w:val="0"/>
        <w:spacing w:line="360" w:lineRule="auto"/>
        <w:ind w:right="420" w:rightChars="200" w:firstLine="7770" w:firstLineChars="370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(公 章）：</w:t>
      </w:r>
    </w:p>
    <w:p w14:paraId="6843CE2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日  </w:t>
      </w:r>
    </w:p>
    <w:p w14:paraId="017D4857">
      <w:pPr>
        <w:rPr>
          <w:rFonts w:hint="eastAsia" w:ascii="宋体" w:hAnsi="宋体" w:eastAsia="宋体" w:cs="宋体"/>
        </w:rPr>
      </w:pPr>
    </w:p>
    <w:sectPr>
      <w:footerReference r:id="rId5" w:type="default"/>
      <w:pgSz w:w="16841" w:h="11907" w:orient="landscape"/>
      <w:pgMar w:top="1803" w:right="1440" w:bottom="1803" w:left="1440" w:header="0" w:footer="8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18665">
    <w:pPr>
      <w:spacing w:line="220" w:lineRule="auto"/>
      <w:ind w:left="7046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0BE1"/>
    <w:rsid w:val="00902C2A"/>
    <w:rsid w:val="010F7FF3"/>
    <w:rsid w:val="01814321"/>
    <w:rsid w:val="03AF45D6"/>
    <w:rsid w:val="04CD7FA9"/>
    <w:rsid w:val="0608269B"/>
    <w:rsid w:val="063903DD"/>
    <w:rsid w:val="091A6679"/>
    <w:rsid w:val="09D75580"/>
    <w:rsid w:val="0A7E1D45"/>
    <w:rsid w:val="0B8E7D66"/>
    <w:rsid w:val="0BDC6D23"/>
    <w:rsid w:val="0F1A028E"/>
    <w:rsid w:val="0FCB1589"/>
    <w:rsid w:val="100E1475"/>
    <w:rsid w:val="10CC55B8"/>
    <w:rsid w:val="114535BD"/>
    <w:rsid w:val="11D63897"/>
    <w:rsid w:val="12A32349"/>
    <w:rsid w:val="13223BB5"/>
    <w:rsid w:val="15194B44"/>
    <w:rsid w:val="174D4B85"/>
    <w:rsid w:val="18626802"/>
    <w:rsid w:val="18F03E0E"/>
    <w:rsid w:val="1A5A1E87"/>
    <w:rsid w:val="1CC4562C"/>
    <w:rsid w:val="1D724E0F"/>
    <w:rsid w:val="1DD106B2"/>
    <w:rsid w:val="200F34F2"/>
    <w:rsid w:val="205904EB"/>
    <w:rsid w:val="22816985"/>
    <w:rsid w:val="23264FFC"/>
    <w:rsid w:val="2398757C"/>
    <w:rsid w:val="25CC175F"/>
    <w:rsid w:val="26FD42C6"/>
    <w:rsid w:val="27934C2A"/>
    <w:rsid w:val="29F729B2"/>
    <w:rsid w:val="2E1443AE"/>
    <w:rsid w:val="2FBD7B7E"/>
    <w:rsid w:val="30B359F5"/>
    <w:rsid w:val="355F439E"/>
    <w:rsid w:val="36321AB2"/>
    <w:rsid w:val="3679323D"/>
    <w:rsid w:val="38402264"/>
    <w:rsid w:val="39981C2C"/>
    <w:rsid w:val="3AB17449"/>
    <w:rsid w:val="3B471B5C"/>
    <w:rsid w:val="3CDD2778"/>
    <w:rsid w:val="3D393726"/>
    <w:rsid w:val="3F746C97"/>
    <w:rsid w:val="41D91B95"/>
    <w:rsid w:val="42E523D4"/>
    <w:rsid w:val="449A2CFC"/>
    <w:rsid w:val="46A2233C"/>
    <w:rsid w:val="484713ED"/>
    <w:rsid w:val="49044BE8"/>
    <w:rsid w:val="49E959C6"/>
    <w:rsid w:val="4AC46D25"/>
    <w:rsid w:val="4C473F4D"/>
    <w:rsid w:val="52B0160A"/>
    <w:rsid w:val="53234805"/>
    <w:rsid w:val="5406215C"/>
    <w:rsid w:val="55D761F6"/>
    <w:rsid w:val="55E62245"/>
    <w:rsid w:val="5C9F247A"/>
    <w:rsid w:val="5D3A2E77"/>
    <w:rsid w:val="5E8A5738"/>
    <w:rsid w:val="5FBB4E3E"/>
    <w:rsid w:val="62097F0C"/>
    <w:rsid w:val="64166260"/>
    <w:rsid w:val="66AE2859"/>
    <w:rsid w:val="6723497B"/>
    <w:rsid w:val="69216C99"/>
    <w:rsid w:val="6EDC028B"/>
    <w:rsid w:val="6F683873"/>
    <w:rsid w:val="70FB1CB9"/>
    <w:rsid w:val="728848F2"/>
    <w:rsid w:val="730E4732"/>
    <w:rsid w:val="733E5017"/>
    <w:rsid w:val="739C7F8F"/>
    <w:rsid w:val="73C03C7E"/>
    <w:rsid w:val="7490269B"/>
    <w:rsid w:val="78046869"/>
    <w:rsid w:val="7892299C"/>
    <w:rsid w:val="7C0B7A60"/>
    <w:rsid w:val="7D3905FD"/>
    <w:rsid w:val="7D9F66B2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3537</Words>
  <Characters>4231</Characters>
  <Lines>0</Lines>
  <Paragraphs>0</Paragraphs>
  <TotalTime>1</TotalTime>
  <ScaleCrop>false</ScaleCrop>
  <LinksUpToDate>false</LinksUpToDate>
  <CharactersWithSpaces>4405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2025-09-10T02:27:00Z</dcterms:created>
  <dc:creator>38364</dc:creator>
  <cp:lastModifiedBy>梁华健</cp:lastModifiedBy>
  <cp:lastPrinted>2025-09-12T08:41:54Z</cp:lastPrinted>
  <dcterms:modified xsi:type="dcterms:W3CDTF">2025-09-12T08:57:43Z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eyJoZGlkIjoiOTMwNjk1YzFkNGY5OTQyMmFhNzRlMTQ2NGFlMzA0ZWYiLCJ1c2VySWQiOiIyMDc2OTM4NjEifQ==</vt:lpwstr>
  </property>
  <property fmtid="{D5CDD505-2E9C-101B-9397-08002B2CF9AE}" pid="4" name="ICV">
    <vt:lpwstr>2B88DC0D266A4871BB281C6F1DA5B479_12</vt:lpwstr>
  </property>
</Properties>
</file>