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573A6">
      <w:pPr>
        <w:spacing w:line="360" w:lineRule="auto"/>
        <w:rPr>
          <w:rFonts w:hint="eastAsia" w:ascii="宋体" w:hAnsi="宋体"/>
          <w:b/>
          <w:color w:val="000000"/>
          <w:szCs w:val="24"/>
        </w:rPr>
      </w:pPr>
      <w:r>
        <w:rPr>
          <w:rFonts w:hint="eastAsia" w:ascii="宋体" w:hAnsi="宋体"/>
          <w:b/>
          <w:color w:val="000000"/>
          <w:sz w:val="32"/>
        </w:rPr>
        <w:t>附件1-1.</w:t>
      </w:r>
    </w:p>
    <w:p w14:paraId="09408CBD">
      <w:pPr>
        <w:spacing w:line="360" w:lineRule="auto"/>
        <w:jc w:val="center"/>
        <w:rPr>
          <w:rFonts w:hint="eastAsia" w:ascii="宋体" w:hAnsi="宋体"/>
          <w:b/>
          <w:color w:val="000000"/>
          <w:sz w:val="32"/>
        </w:rPr>
      </w:pPr>
      <w:r>
        <w:rPr>
          <w:rFonts w:hint="eastAsia" w:ascii="宋体" w:hAnsi="宋体"/>
          <w:b/>
          <w:color w:val="000000"/>
          <w:sz w:val="32"/>
        </w:rPr>
        <w:t>2025-2026年排水数据治理技术服务项目需求书</w:t>
      </w:r>
    </w:p>
    <w:p w14:paraId="1B97FDB5">
      <w:pPr>
        <w:tabs>
          <w:tab w:val="left" w:pos="1080"/>
        </w:tabs>
        <w:spacing w:line="480" w:lineRule="auto"/>
        <w:ind w:firstLine="420"/>
        <w:rPr>
          <w:rFonts w:hint="eastAsia" w:ascii="宋体" w:hAnsi="宋体" w:eastAsia="宋体" w:cs="宋体"/>
          <w:szCs w:val="24"/>
          <w:lang w:eastAsia="zh-CN"/>
        </w:rPr>
      </w:pPr>
      <w:bookmarkStart w:id="0" w:name="OLE_LINK3"/>
      <w:r>
        <w:rPr>
          <w:rFonts w:hint="eastAsia" w:ascii="宋体" w:hAnsi="宋体" w:cs="Courier New"/>
          <w:sz w:val="24"/>
        </w:rPr>
        <w:t>为</w:t>
      </w:r>
      <w:r>
        <w:rPr>
          <w:rFonts w:hint="eastAsia" w:ascii="宋体" w:hAnsi="宋体" w:cs="Courier New"/>
          <w:sz w:val="24"/>
          <w:lang w:val="en-US" w:eastAsia="zh-CN"/>
        </w:rPr>
        <w:t>巩固与再提升</w:t>
      </w:r>
      <w:r>
        <w:rPr>
          <w:rFonts w:hint="eastAsia" w:ascii="宋体" w:hAnsi="宋体" w:cs="Courier New"/>
          <w:sz w:val="24"/>
        </w:rPr>
        <w:t>宝排公司</w:t>
      </w:r>
      <w:r>
        <w:rPr>
          <w:rFonts w:hint="eastAsia" w:ascii="宋体" w:hAnsi="宋体" w:cs="Courier New"/>
          <w:sz w:val="24"/>
          <w:lang w:val="en-US" w:eastAsia="zh-CN"/>
        </w:rPr>
        <w:t>排水数据质量</w:t>
      </w:r>
      <w:r>
        <w:rPr>
          <w:rFonts w:hint="eastAsia" w:ascii="宋体" w:hAnsi="宋体" w:cs="Courier New"/>
          <w:sz w:val="24"/>
        </w:rPr>
        <w:t>，开展宝排公司2025-2026年排水数据</w:t>
      </w:r>
      <w:r>
        <w:rPr>
          <w:rFonts w:hint="eastAsia" w:ascii="宋体" w:hAnsi="宋体" w:cs="Courier New"/>
          <w:sz w:val="24"/>
          <w:lang w:val="en-US" w:eastAsia="zh-CN"/>
        </w:rPr>
        <w:t>治</w:t>
      </w:r>
      <w:r>
        <w:rPr>
          <w:rFonts w:hint="eastAsia" w:ascii="宋体" w:hAnsi="宋体" w:cs="Courier New"/>
          <w:sz w:val="24"/>
        </w:rPr>
        <w:t>理技术服务项目工作，</w:t>
      </w:r>
      <w:r>
        <w:rPr>
          <w:rFonts w:hint="eastAsia" w:ascii="宋体" w:hAnsi="宋体" w:cs="Courier New"/>
          <w:sz w:val="24"/>
          <w:lang w:val="en-US" w:eastAsia="zh-CN"/>
        </w:rPr>
        <w:t>内容包括</w:t>
      </w:r>
      <w:r>
        <w:rPr>
          <w:rFonts w:hint="eastAsia" w:ascii="宋体" w:hAnsi="宋体" w:cs="Courier New"/>
          <w:sz w:val="24"/>
        </w:rPr>
        <w:t>排水户与日常巡检数据治理</w:t>
      </w:r>
      <w:r>
        <w:rPr>
          <w:rFonts w:hint="eastAsia" w:ascii="宋体" w:hAnsi="宋体" w:cs="Courier New"/>
          <w:sz w:val="24"/>
          <w:lang w:eastAsia="zh-CN"/>
        </w:rPr>
        <w:t>、</w:t>
      </w:r>
      <w:r>
        <w:rPr>
          <w:rFonts w:hint="eastAsia" w:ascii="宋体" w:hAnsi="宋体" w:cs="Courier New"/>
          <w:sz w:val="24"/>
        </w:rPr>
        <w:t>排水管网数据治理</w:t>
      </w:r>
      <w:r>
        <w:rPr>
          <w:rFonts w:hint="eastAsia" w:ascii="宋体" w:hAnsi="宋体" w:cs="Courier New"/>
          <w:sz w:val="24"/>
          <w:lang w:val="en-US" w:eastAsia="zh-CN"/>
        </w:rPr>
        <w:t>以及</w:t>
      </w:r>
      <w:r>
        <w:rPr>
          <w:rFonts w:hint="eastAsia" w:ascii="宋体" w:hAnsi="宋体" w:cs="Courier New"/>
          <w:sz w:val="24"/>
        </w:rPr>
        <w:t>污水零直排数据治理</w:t>
      </w:r>
      <w:r>
        <w:rPr>
          <w:rFonts w:hint="eastAsia" w:ascii="宋体" w:hAnsi="宋体" w:cs="Courier New"/>
          <w:sz w:val="24"/>
          <w:lang w:eastAsia="zh-CN"/>
        </w:rPr>
        <w:t>。</w:t>
      </w:r>
      <w:bookmarkStart w:id="1" w:name="_GoBack"/>
      <w:bookmarkEnd w:id="1"/>
    </w:p>
    <w:bookmarkEnd w:id="0"/>
    <w:p w14:paraId="30ECCC44">
      <w:pPr>
        <w:tabs>
          <w:tab w:val="left" w:pos="1080"/>
        </w:tabs>
        <w:spacing w:line="480" w:lineRule="auto"/>
        <w:ind w:firstLine="420"/>
        <w:rPr>
          <w:rFonts w:hint="eastAsia" w:ascii="宋体" w:hAnsi="宋体" w:cs="宋体"/>
          <w:szCs w:val="24"/>
        </w:rPr>
      </w:pPr>
      <w:r>
        <w:rPr>
          <w:rFonts w:hint="eastAsia" w:ascii="宋体" w:hAnsi="宋体" w:cs="宋体"/>
          <w:szCs w:val="24"/>
        </w:rPr>
        <w:t>（一）</w:t>
      </w:r>
      <w:r>
        <w:rPr>
          <w:rFonts w:hint="eastAsia" w:ascii="宋体" w:hAnsi="宋体" w:cs="Courier New"/>
          <w:sz w:val="24"/>
        </w:rPr>
        <w:t>排水户与日常巡检数据治理</w:t>
      </w:r>
    </w:p>
    <w:p w14:paraId="1E170060">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(1)数据梳理:梳理生产经营类排水户相关的数据信息，包括排水户基本数据、接驳口数据、排水户巡检以及空间数据基础信息。</w:t>
      </w:r>
    </w:p>
    <w:p w14:paraId="65D4D34C">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(2)数据收集:根据梳理的生产经营类排水户相关数据信息结构，从深圳市排水信息系统中获取原始数据，将原始数据存储在数据库中形成基础信息表。</w:t>
      </w:r>
    </w:p>
    <w:p w14:paraId="4C176E15">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(3)数据更新:将深圳市排水信息系统中有变动的生产经营类排水户相关数据同步更新到基础信息表中，保持两端数据同步。</w:t>
      </w:r>
    </w:p>
    <w:p w14:paraId="303036FD">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(4)数据治理:根据排水户监管的业务需求，对排水户相关数据做质量检查，检查完成后将数据进行清洗与融合，形成支撑业务应用场景可用的数据信息表。</w:t>
      </w:r>
    </w:p>
    <w:p w14:paraId="44B8CC0E">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(5)数据推送:对于数据治理完成后排水户相关数据信息支持按固定频率与格式进行推送。</w:t>
      </w:r>
    </w:p>
    <w:p w14:paraId="08A9C0D6">
      <w:pPr>
        <w:tabs>
          <w:tab w:val="left" w:pos="1080"/>
        </w:tabs>
        <w:spacing w:line="480" w:lineRule="auto"/>
        <w:ind w:firstLine="420"/>
        <w:rPr>
          <w:rFonts w:hint="default" w:ascii="宋体" w:hAnsi="宋体" w:eastAsia="宋体" w:cs="宋体"/>
          <w:szCs w:val="24"/>
          <w:lang w:val="en-US" w:eastAsia="zh-CN"/>
        </w:rPr>
      </w:pPr>
      <w:r>
        <w:rPr>
          <w:rFonts w:hint="eastAsia" w:ascii="宋体" w:hAnsi="宋体" w:cs="宋体"/>
          <w:szCs w:val="24"/>
        </w:rPr>
        <w:t>（二）</w:t>
      </w:r>
      <w:r>
        <w:rPr>
          <w:rFonts w:hint="eastAsia" w:ascii="宋体" w:hAnsi="宋体" w:cs="宋体"/>
          <w:szCs w:val="24"/>
          <w:lang w:val="en-US" w:eastAsia="zh-CN"/>
        </w:rPr>
        <w:t>排水管网数据治理</w:t>
      </w:r>
    </w:p>
    <w:p w14:paraId="02B9485A">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(1)数据梳理:梳理排水管网数据信息，包括排水管道、排水渠道、检查井、雨水口、排放口、特征点等数据基础信息。</w:t>
      </w:r>
    </w:p>
    <w:p w14:paraId="505B02C2">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(2)数据质量检査:依据《室外排水设施数据采集与建库规范》(编号:</w:t>
      </w:r>
      <w:r>
        <w:rPr>
          <w:rFonts w:ascii="宋体" w:hAnsi="宋体" w:eastAsia="宋体" w:cs="宋体"/>
          <w:sz w:val="24"/>
          <w:szCs w:val="24"/>
        </w:rPr>
        <w:t>DB4403/T 632—2025</w:t>
      </w:r>
      <w:r>
        <w:rPr>
          <w:rFonts w:hint="eastAsia" w:ascii="宋体" w:hAnsi="宋体" w:cs="Courier New"/>
          <w:sz w:val="24"/>
          <w:lang w:val="en-US" w:eastAsia="zh-CN"/>
        </w:rPr>
        <w:t>)、《深圳市地下管线数据汇交标准》对排水管网数据信息进行数据质量检查,包括必填项检查、有效性检查、孤立管点或管渠等检查。</w:t>
      </w:r>
    </w:p>
    <w:p w14:paraId="160A8270">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(3)问题报告与清单:对排水管网数据信息所存在的数据质量问题，形成质量检查报告，内容包括基础数据统计信息、问题统计信息与整改建议等内容。</w:t>
      </w:r>
    </w:p>
    <w:p w14:paraId="53122A6B">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(4)数据治理:根据深圳市水务局、深圳市规划和自然资源局、深圳市政务服务和数据管理局、深圳市宝安区政务服务和数据管理局对排水管网数据汇交入库的相关要求，对于排水管网数据信息所存在的数据质量问题进行数据整改，以满足排水管网数据汇交要求，最终实现管网数据入库。至少提供2次排水管网数据质检与治理工作，具体汇交频次以实际汇交要求为准。</w:t>
      </w:r>
    </w:p>
    <w:p w14:paraId="7AF23B2F">
      <w:pPr>
        <w:tabs>
          <w:tab w:val="left" w:pos="1080"/>
        </w:tabs>
        <w:spacing w:line="480" w:lineRule="auto"/>
        <w:ind w:firstLine="420"/>
        <w:rPr>
          <w:rFonts w:hint="default" w:ascii="宋体" w:hAnsi="宋体" w:eastAsia="宋体" w:cs="宋体"/>
          <w:szCs w:val="24"/>
          <w:lang w:val="en-US" w:eastAsia="zh-CN"/>
        </w:rPr>
      </w:pPr>
      <w:r>
        <w:rPr>
          <w:rFonts w:hint="eastAsia" w:ascii="宋体" w:hAnsi="宋体" w:cs="宋体"/>
          <w:szCs w:val="24"/>
        </w:rPr>
        <w:t>（三）</w:t>
      </w:r>
      <w:r>
        <w:rPr>
          <w:rFonts w:hint="eastAsia" w:ascii="宋体" w:hAnsi="宋体" w:cs="宋体"/>
          <w:szCs w:val="24"/>
          <w:lang w:val="en-US" w:eastAsia="zh-CN"/>
        </w:rPr>
        <w:t>污水零直排数据治理</w:t>
      </w:r>
    </w:p>
    <w:p w14:paraId="210498DC">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(1)数据梳理:梳理污水零直排区相关的数据信息，包括建筑核查数据、化粪池数据、污水零直排小区数据、污水零直排区数据以及空间数据基础信息。</w:t>
      </w:r>
    </w:p>
    <w:p w14:paraId="5E44CB7F">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(2)数据收集:根据梳理的污水零直排区相关数据信息结构，从深圳市排水信息系统中获取原始数据，将原始数据存储在数据库中形成基础信息表。</w:t>
      </w:r>
    </w:p>
    <w:p w14:paraId="0335A880">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(3)数据更新:将深圳市排水信息系统中有变动的污水零直排区数据同步更新到基础信息表中，保持两端数据同步。</w:t>
      </w:r>
    </w:p>
    <w:p w14:paraId="5E606007">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(4)数据治理:根据创建污水零直排区的业务需求，对污水零直排区相关的数据做质量检查，检查完成后将数据进行清洗与融合，形成支撑业务应用场景可用的数据信息表。</w:t>
      </w:r>
    </w:p>
    <w:p w14:paraId="39D584FE">
      <w:pPr>
        <w:tabs>
          <w:tab w:val="left" w:pos="1080"/>
        </w:tabs>
        <w:spacing w:line="480" w:lineRule="auto"/>
        <w:ind w:firstLine="420"/>
        <w:rPr>
          <w:rFonts w:hint="eastAsia" w:ascii="宋体" w:hAnsi="宋体" w:cs="Courier New"/>
          <w:sz w:val="24"/>
          <w:lang w:val="en-US" w:eastAsia="zh-CN"/>
        </w:rPr>
      </w:pPr>
      <w:r>
        <w:rPr>
          <w:rFonts w:hint="eastAsia" w:ascii="宋体" w:hAnsi="宋体" w:cs="Courier New"/>
          <w:sz w:val="24"/>
          <w:lang w:val="en-US" w:eastAsia="zh-CN"/>
        </w:rPr>
        <w:t>(5)数据推送:对于数据治理完成后污水零直排区相关数据信息支持按固定频率与格式进行推送。</w:t>
      </w:r>
    </w:p>
    <w:p w14:paraId="4F5BD51F">
      <w:pPr>
        <w:tabs>
          <w:tab w:val="left" w:pos="1080"/>
        </w:tabs>
        <w:spacing w:line="480" w:lineRule="auto"/>
        <w:ind w:firstLine="420"/>
        <w:rPr>
          <w:rFonts w:hint="default" w:ascii="宋体" w:hAnsi="宋体" w:eastAsia="宋体" w:cs="宋体"/>
          <w:szCs w:val="24"/>
          <w:lang w:val="en-US" w:eastAsia="zh-CN"/>
        </w:rPr>
      </w:pPr>
      <w:r>
        <w:rPr>
          <w:rFonts w:hint="eastAsia" w:ascii="宋体" w:hAnsi="宋体" w:cs="宋体"/>
          <w:szCs w:val="24"/>
        </w:rPr>
        <w:t>（四）</w:t>
      </w:r>
      <w:r>
        <w:rPr>
          <w:rFonts w:hint="eastAsia" w:ascii="宋体" w:hAnsi="宋体" w:cs="宋体"/>
          <w:szCs w:val="24"/>
          <w:lang w:val="en-US" w:eastAsia="zh-CN"/>
        </w:rPr>
        <w:t>成果文件</w:t>
      </w:r>
    </w:p>
    <w:p w14:paraId="607A65B4">
      <w:pPr>
        <w:tabs>
          <w:tab w:val="left" w:pos="1080"/>
        </w:tabs>
        <w:spacing w:line="480" w:lineRule="auto"/>
        <w:ind w:firstLine="420"/>
        <w:rPr>
          <w:rFonts w:hint="eastAsia" w:ascii="宋体" w:hAnsi="宋体" w:cs="宋体"/>
          <w:szCs w:val="24"/>
          <w:lang w:eastAsia="zh-CN"/>
        </w:rPr>
      </w:pPr>
      <w:r>
        <w:rPr>
          <w:rFonts w:hint="eastAsia" w:ascii="宋体" w:hAnsi="宋体" w:cs="宋体"/>
          <w:szCs w:val="24"/>
          <w:lang w:eastAsia="zh-CN"/>
        </w:rPr>
        <w:t>(1)《宝安区排水管网质量检查报告》:对排水管网数据进行数据质量检查,包含总体情况、数据问题统计、检查结果与存在的问题;报告中附带存在质量问题的表形成《宝安区排水管网问题清单》，针对不同的问题类型列出存在问题的排水设施记录。</w:t>
      </w:r>
    </w:p>
    <w:p w14:paraId="0D669B60">
      <w:pPr>
        <w:tabs>
          <w:tab w:val="left" w:pos="1080"/>
        </w:tabs>
        <w:spacing w:line="480" w:lineRule="auto"/>
        <w:ind w:firstLine="420"/>
        <w:rPr>
          <w:rFonts w:hint="eastAsia" w:ascii="宋体" w:hAnsi="宋体" w:cs="宋体"/>
          <w:szCs w:val="24"/>
          <w:lang w:eastAsia="zh-CN"/>
        </w:rPr>
      </w:pPr>
      <w:r>
        <w:rPr>
          <w:rFonts w:hint="eastAsia" w:ascii="宋体" w:hAnsi="宋体" w:cs="宋体"/>
          <w:szCs w:val="24"/>
          <w:lang w:eastAsia="zh-CN"/>
        </w:rPr>
        <w:t>(2)《宝安区2024年度排水数据治理项目中期报告》:对已完成的</w:t>
      </w:r>
      <w:r>
        <w:rPr>
          <w:rFonts w:hint="eastAsia" w:ascii="宋体" w:hAnsi="宋体" w:cs="Courier New"/>
          <w:sz w:val="24"/>
        </w:rPr>
        <w:t>排水户与日常巡检数据治理</w:t>
      </w:r>
      <w:r>
        <w:rPr>
          <w:rFonts w:hint="eastAsia" w:ascii="宋体" w:hAnsi="宋体" w:cs="Courier New"/>
          <w:sz w:val="24"/>
          <w:lang w:eastAsia="zh-CN"/>
        </w:rPr>
        <w:t>、</w:t>
      </w:r>
      <w:r>
        <w:rPr>
          <w:rFonts w:hint="eastAsia" w:ascii="宋体" w:hAnsi="宋体" w:cs="Courier New"/>
          <w:sz w:val="24"/>
        </w:rPr>
        <w:t>排水管网数据治理</w:t>
      </w:r>
      <w:r>
        <w:rPr>
          <w:rFonts w:hint="eastAsia" w:ascii="宋体" w:hAnsi="宋体" w:cs="Courier New"/>
          <w:sz w:val="24"/>
          <w:lang w:val="en-US" w:eastAsia="zh-CN"/>
        </w:rPr>
        <w:t>以及</w:t>
      </w:r>
      <w:r>
        <w:rPr>
          <w:rFonts w:hint="eastAsia" w:ascii="宋体" w:hAnsi="宋体" w:cs="Courier New"/>
          <w:sz w:val="24"/>
        </w:rPr>
        <w:t>污水零直排数据治理</w:t>
      </w:r>
      <w:r>
        <w:rPr>
          <w:rFonts w:hint="eastAsia" w:ascii="宋体" w:hAnsi="宋体" w:cs="Courier New"/>
          <w:sz w:val="24"/>
          <w:lang w:val="en-US" w:eastAsia="zh-CN"/>
        </w:rPr>
        <w:t>情况</w:t>
      </w:r>
      <w:r>
        <w:rPr>
          <w:rFonts w:hint="eastAsia" w:ascii="宋体" w:hAnsi="宋体" w:cs="宋体"/>
          <w:szCs w:val="24"/>
          <w:lang w:eastAsia="zh-CN"/>
        </w:rPr>
        <w:t>进行半年度的成果总结。</w:t>
      </w:r>
    </w:p>
    <w:p w14:paraId="3F4E1D61">
      <w:pPr>
        <w:tabs>
          <w:tab w:val="left" w:pos="1080"/>
        </w:tabs>
        <w:spacing w:line="480" w:lineRule="auto"/>
        <w:ind w:firstLine="420"/>
        <w:rPr>
          <w:rFonts w:hint="eastAsia" w:ascii="宋体" w:hAnsi="宋体" w:cs="宋体"/>
          <w:szCs w:val="24"/>
          <w:lang w:eastAsia="zh-CN"/>
        </w:rPr>
      </w:pPr>
      <w:r>
        <w:rPr>
          <w:rFonts w:hint="eastAsia" w:ascii="宋体" w:hAnsi="宋体" w:cs="宋体"/>
          <w:szCs w:val="24"/>
          <w:lang w:eastAsia="zh-CN"/>
        </w:rPr>
        <w:t>(3)宝安区2024年度排水业务数据库文件:该文件存储排水户与日常巡检、污水零直排数据</w:t>
      </w:r>
      <w:r>
        <w:rPr>
          <w:rFonts w:hint="eastAsia" w:ascii="宋体" w:hAnsi="宋体" w:cs="宋体"/>
          <w:szCs w:val="24"/>
          <w:lang w:val="en-US" w:eastAsia="zh-CN"/>
        </w:rPr>
        <w:t>两</w:t>
      </w:r>
      <w:r>
        <w:rPr>
          <w:rFonts w:hint="eastAsia" w:ascii="宋体" w:hAnsi="宋体" w:cs="宋体"/>
          <w:szCs w:val="24"/>
          <w:lang w:eastAsia="zh-CN"/>
        </w:rPr>
        <w:t>部分的原始数据以及数据治理后的业务数据，体现排水业务数据治理成果。</w:t>
      </w:r>
    </w:p>
    <w:p w14:paraId="6DF5F251">
      <w:pPr>
        <w:tabs>
          <w:tab w:val="left" w:pos="1080"/>
        </w:tabs>
        <w:spacing w:line="480" w:lineRule="auto"/>
        <w:ind w:firstLine="420"/>
        <w:rPr>
          <w:rFonts w:hint="eastAsia" w:ascii="宋体" w:hAnsi="宋体" w:cs="宋体"/>
          <w:szCs w:val="24"/>
          <w:lang w:eastAsia="zh-CN"/>
        </w:rPr>
      </w:pPr>
      <w:r>
        <w:rPr>
          <w:rFonts w:hint="eastAsia" w:ascii="宋体" w:hAnsi="宋体" w:cs="宋体"/>
          <w:szCs w:val="24"/>
          <w:lang w:eastAsia="zh-CN"/>
        </w:rPr>
        <w:t>(4)宝安区2024年度排水管网数据库文件:该文件存储排水管网的原始空间数据以及数据治理后的空间数据，体现排水管网数据治理成果。</w:t>
      </w:r>
    </w:p>
    <w:p w14:paraId="61AAF8E3">
      <w:pPr>
        <w:tabs>
          <w:tab w:val="left" w:pos="1080"/>
        </w:tabs>
        <w:spacing w:line="480" w:lineRule="auto"/>
        <w:ind w:firstLine="420"/>
        <w:rPr>
          <w:rFonts w:hint="eastAsia" w:ascii="宋体" w:hAnsi="宋体" w:cs="宋体"/>
          <w:szCs w:val="24"/>
          <w:lang w:eastAsia="zh-CN"/>
        </w:rPr>
      </w:pPr>
      <w:r>
        <w:rPr>
          <w:rFonts w:hint="eastAsia" w:ascii="宋体" w:hAnsi="宋体" w:cs="宋体"/>
          <w:szCs w:val="24"/>
          <w:lang w:eastAsia="zh-CN"/>
        </w:rPr>
        <w:t>(5)《宝安区2024年度排水数据治理数据库说明书》:对排水业务数据库文件中各个表结构以及表与表之间的关联性进行说明。</w:t>
      </w:r>
    </w:p>
    <w:p w14:paraId="110BDFBB">
      <w:pPr>
        <w:tabs>
          <w:tab w:val="left" w:pos="1080"/>
        </w:tabs>
        <w:spacing w:line="480" w:lineRule="auto"/>
        <w:ind w:firstLine="420"/>
        <w:rPr>
          <w:rFonts w:hint="eastAsia" w:ascii="宋体" w:hAnsi="宋体" w:eastAsia="宋体" w:cs="宋体"/>
          <w:szCs w:val="24"/>
          <w:lang w:eastAsia="zh-CN"/>
        </w:rPr>
      </w:pPr>
      <w:r>
        <w:rPr>
          <w:rFonts w:hint="eastAsia" w:ascii="宋体" w:hAnsi="宋体" w:cs="宋体"/>
          <w:szCs w:val="24"/>
          <w:lang w:eastAsia="zh-CN"/>
        </w:rPr>
        <w:t>(6)《宝安区2024年度排水数据治理项目总结报告》:对已完成的</w:t>
      </w:r>
      <w:r>
        <w:rPr>
          <w:rFonts w:hint="eastAsia" w:ascii="宋体" w:hAnsi="宋体" w:cs="Courier New"/>
          <w:sz w:val="24"/>
        </w:rPr>
        <w:t>排水户与日常巡检数据治理</w:t>
      </w:r>
      <w:r>
        <w:rPr>
          <w:rFonts w:hint="eastAsia" w:ascii="宋体" w:hAnsi="宋体" w:cs="Courier New"/>
          <w:sz w:val="24"/>
          <w:lang w:eastAsia="zh-CN"/>
        </w:rPr>
        <w:t>、</w:t>
      </w:r>
      <w:r>
        <w:rPr>
          <w:rFonts w:hint="eastAsia" w:ascii="宋体" w:hAnsi="宋体" w:cs="Courier New"/>
          <w:sz w:val="24"/>
        </w:rPr>
        <w:t>排水管网数据治理</w:t>
      </w:r>
      <w:r>
        <w:rPr>
          <w:rFonts w:hint="eastAsia" w:ascii="宋体" w:hAnsi="宋体" w:cs="Courier New"/>
          <w:sz w:val="24"/>
          <w:lang w:val="en-US" w:eastAsia="zh-CN"/>
        </w:rPr>
        <w:t>以及</w:t>
      </w:r>
      <w:r>
        <w:rPr>
          <w:rFonts w:hint="eastAsia" w:ascii="宋体" w:hAnsi="宋体" w:cs="Courier New"/>
          <w:sz w:val="24"/>
        </w:rPr>
        <w:t>污水零直排数据治理</w:t>
      </w:r>
      <w:r>
        <w:rPr>
          <w:rFonts w:hint="eastAsia" w:ascii="宋体" w:hAnsi="宋体" w:cs="Courier New"/>
          <w:sz w:val="24"/>
          <w:lang w:val="en-US" w:eastAsia="zh-CN"/>
        </w:rPr>
        <w:t>情况</w:t>
      </w:r>
      <w:r>
        <w:rPr>
          <w:rFonts w:hint="eastAsia" w:ascii="宋体" w:hAnsi="宋体" w:cs="宋体"/>
          <w:szCs w:val="24"/>
          <w:lang w:eastAsia="zh-CN"/>
        </w:rPr>
        <w:t>进行全年度的成果总结。</w:t>
      </w:r>
    </w:p>
    <w:p w14:paraId="2D471907">
      <w:pPr>
        <w:pStyle w:val="2"/>
        <w:spacing w:line="480" w:lineRule="auto"/>
        <w:ind w:left="0" w:leftChars="0" w:firstLine="0" w:firstLineChars="0"/>
        <w:rPr>
          <w:rFonts w:hint="eastAsia" w:ascii="宋体" w:hAnsi="宋体"/>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3241804"/>
      <w:docPartObj>
        <w:docPartGallery w:val="autotext"/>
      </w:docPartObj>
    </w:sdtPr>
    <w:sdtContent>
      <w:p w14:paraId="777C2908">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CC255D1">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51"/>
    <w:rsid w:val="00070D9B"/>
    <w:rsid w:val="000D4217"/>
    <w:rsid w:val="001343C4"/>
    <w:rsid w:val="00142171"/>
    <w:rsid w:val="001609B1"/>
    <w:rsid w:val="00186B3F"/>
    <w:rsid w:val="001C590C"/>
    <w:rsid w:val="001D31F8"/>
    <w:rsid w:val="00261551"/>
    <w:rsid w:val="00294E59"/>
    <w:rsid w:val="00305D74"/>
    <w:rsid w:val="00327BA4"/>
    <w:rsid w:val="00365D78"/>
    <w:rsid w:val="003C175C"/>
    <w:rsid w:val="003D234F"/>
    <w:rsid w:val="00436B0C"/>
    <w:rsid w:val="004552C0"/>
    <w:rsid w:val="005D65CA"/>
    <w:rsid w:val="00636C40"/>
    <w:rsid w:val="006A23FC"/>
    <w:rsid w:val="006B1985"/>
    <w:rsid w:val="006C7A09"/>
    <w:rsid w:val="006F3BF9"/>
    <w:rsid w:val="006F709F"/>
    <w:rsid w:val="00716214"/>
    <w:rsid w:val="007427BE"/>
    <w:rsid w:val="00751D5F"/>
    <w:rsid w:val="00751FDA"/>
    <w:rsid w:val="00767722"/>
    <w:rsid w:val="00950699"/>
    <w:rsid w:val="009650C5"/>
    <w:rsid w:val="00A109E9"/>
    <w:rsid w:val="00A72608"/>
    <w:rsid w:val="00A82FC2"/>
    <w:rsid w:val="00A91416"/>
    <w:rsid w:val="00AB7E84"/>
    <w:rsid w:val="00B372A9"/>
    <w:rsid w:val="00BE79E1"/>
    <w:rsid w:val="00CC279E"/>
    <w:rsid w:val="00D62CAC"/>
    <w:rsid w:val="00D97F2B"/>
    <w:rsid w:val="00E37221"/>
    <w:rsid w:val="00E546E2"/>
    <w:rsid w:val="00F3128F"/>
    <w:rsid w:val="00F632FC"/>
    <w:rsid w:val="00FC28B5"/>
    <w:rsid w:val="2C0A5CB2"/>
    <w:rsid w:val="38FD48C2"/>
    <w:rsid w:val="54CE1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4"/>
    <w:semiHidden/>
    <w:unhideWhenUsed/>
    <w:qFormat/>
    <w:uiPriority w:val="99"/>
    <w:pPr>
      <w:ind w:firstLine="420" w:firstLineChars="200"/>
    </w:pPr>
  </w:style>
  <w:style w:type="paragraph" w:styleId="3">
    <w:name w:val="Body Text Indent"/>
    <w:basedOn w:val="1"/>
    <w:link w:val="13"/>
    <w:semiHidden/>
    <w:unhideWhenUsed/>
    <w:uiPriority w:val="99"/>
    <w:pPr>
      <w:spacing w:after="120"/>
      <w:ind w:left="420" w:leftChars="200"/>
    </w:pPr>
  </w:style>
  <w:style w:type="paragraph" w:styleId="4">
    <w:name w:val="annotation text"/>
    <w:basedOn w:val="1"/>
    <w:link w:val="16"/>
    <w:unhideWhenUsed/>
    <w:qFormat/>
    <w:uiPriority w:val="99"/>
    <w:pPr>
      <w:jc w:val="left"/>
    </w:p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annotation reference"/>
    <w:basedOn w:val="8"/>
    <w:semiHidden/>
    <w:unhideWhenUsed/>
    <w:uiPriority w:val="99"/>
    <w:rPr>
      <w:sz w:val="21"/>
      <w:szCs w:val="21"/>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正文文本缩进 字符"/>
    <w:basedOn w:val="8"/>
    <w:link w:val="3"/>
    <w:semiHidden/>
    <w:qFormat/>
    <w:uiPriority w:val="99"/>
    <w:rPr>
      <w:rFonts w:ascii="Times New Roman" w:hAnsi="Times New Roman" w:eastAsia="宋体" w:cs="Times New Roman"/>
      <w:sz w:val="24"/>
      <w:szCs w:val="20"/>
    </w:rPr>
  </w:style>
  <w:style w:type="character" w:customStyle="1" w:styleId="14">
    <w:name w:val="正文文本首行缩进 2 字符"/>
    <w:basedOn w:val="13"/>
    <w:link w:val="2"/>
    <w:semiHidden/>
    <w:qFormat/>
    <w:uiPriority w:val="99"/>
    <w:rPr>
      <w:rFonts w:ascii="Times New Roman" w:hAnsi="Times New Roman" w:eastAsia="宋体" w:cs="Times New Roman"/>
      <w:sz w:val="24"/>
      <w:szCs w:val="20"/>
    </w:rPr>
  </w:style>
  <w:style w:type="paragraph" w:customStyle="1" w:styleId="15">
    <w:name w:val="Revision"/>
    <w:hidden/>
    <w:unhideWhenUsed/>
    <w:uiPriority w:val="99"/>
    <w:rPr>
      <w:rFonts w:ascii="Times New Roman" w:hAnsi="Times New Roman" w:eastAsia="宋体" w:cs="Times New Roman"/>
      <w:kern w:val="2"/>
      <w:sz w:val="24"/>
      <w:lang w:val="en-US" w:eastAsia="zh-CN" w:bidi="ar-SA"/>
    </w:rPr>
  </w:style>
  <w:style w:type="character" w:customStyle="1" w:styleId="16">
    <w:name w:val="批注文字 字符"/>
    <w:link w:val="4"/>
    <w:qFormat/>
    <w:uiPriority w:val="99"/>
    <w:rPr>
      <w:rFonts w:ascii="Times New Roman" w:hAnsi="Times New Roman" w:eastAsia="宋体" w:cs="Times New Roman"/>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1534</Words>
  <Characters>1622</Characters>
  <Lines>13</Lines>
  <Paragraphs>3</Paragraphs>
  <TotalTime>7</TotalTime>
  <ScaleCrop>false</ScaleCrop>
  <LinksUpToDate>false</LinksUpToDate>
  <CharactersWithSpaces>1623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2023-07-24T01:32:00Z</dcterms:created>
  <dc:creator>dell</dc:creator>
  <cp:lastModifiedBy>邓雅</cp:lastModifiedBy>
  <cp:lastPrinted>2025-09-08T06:29:00Z</cp:lastPrinted>
  <dcterms:modified xsi:type="dcterms:W3CDTF">2025-10-15T01:48:42Z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eyJoZGlkIjoiOWNkYTYxNDdiZWI5ZmI2OGEwNDQyNzU4YTA4YWU3ZTAiLCJ1c2VySWQiOiI3MDg1ODk2NTkifQ==</vt:lpwstr>
  </property>
  <property fmtid="{D5CDD505-2E9C-101B-9397-08002B2CF9AE}" pid="3" name="KSOProductBuildVer">
    <vt:lpwstr>2052-12.1.0.22529</vt:lpwstr>
  </property>
  <property fmtid="{D5CDD505-2E9C-101B-9397-08002B2CF9AE}" pid="4" name="ICV">
    <vt:lpwstr>482A61838DDE440298852F53230F6F5D_12</vt:lpwstr>
  </property>
</Properties>
</file>