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94F29">
      <w:pPr>
        <w:pStyle w:val="8"/>
        <w:keepNext w:val="0"/>
        <w:keepLines w:val="0"/>
        <w:pageBreakBefore w:val="0"/>
        <w:widowControl w:val="0"/>
        <w:kinsoku/>
        <w:wordWrap/>
        <w:overflowPunct/>
        <w:topLinePunct w:val="0"/>
        <w:autoSpaceDE/>
        <w:autoSpaceDN/>
        <w:bidi w:val="0"/>
        <w:adjustRightInd/>
        <w:snapToGrid/>
        <w:spacing w:line="560" w:lineRule="exact"/>
        <w:ind w:right="0" w:firstLine="480" w:firstLineChars="200"/>
        <w:textAlignment w:val="auto"/>
        <w:outlineLvl w:val="0"/>
        <w:rPr>
          <w:rFonts w:hint="eastAsia"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sz w:val="24"/>
          <w:szCs w:val="24"/>
        </w:rPr>
        <w:t>附件</w:t>
      </w:r>
      <w:r>
        <w:rPr>
          <w:rFonts w:hint="eastAsia" w:ascii="方正小标宋简体" w:hAnsi="方正小标宋简体" w:eastAsia="方正小标宋简体" w:cs="方正小标宋简体"/>
          <w:b w:val="0"/>
          <w:bCs w:val="0"/>
          <w:sz w:val="24"/>
          <w:szCs w:val="24"/>
          <w:lang w:val="en-US" w:eastAsia="zh-CN"/>
        </w:rPr>
        <w:t>1</w:t>
      </w:r>
      <w:r>
        <w:rPr>
          <w:rFonts w:hint="eastAsia" w:ascii="方正小标宋简体" w:hAnsi="方正小标宋简体" w:eastAsia="方正小标宋简体" w:cs="方正小标宋简体"/>
          <w:b w:val="0"/>
          <w:bCs w:val="0"/>
          <w:sz w:val="24"/>
          <w:szCs w:val="24"/>
        </w:rPr>
        <w:t>：深圳市宝安排水有限公司</w:t>
      </w:r>
      <w:r>
        <w:rPr>
          <w:rFonts w:hint="eastAsia" w:ascii="方正小标宋简体" w:hAnsi="方正小标宋简体" w:eastAsia="方正小标宋简体" w:cs="方正小标宋简体"/>
          <w:b w:val="0"/>
          <w:bCs w:val="0"/>
          <w:sz w:val="24"/>
          <w:szCs w:val="24"/>
          <w:lang w:eastAsia="zh-CN"/>
        </w:rPr>
        <w:t>202</w:t>
      </w:r>
      <w:r>
        <w:rPr>
          <w:rFonts w:hint="eastAsia" w:ascii="方正小标宋简体" w:hAnsi="方正小标宋简体" w:eastAsia="方正小标宋简体" w:cs="方正小标宋简体"/>
          <w:b w:val="0"/>
          <w:bCs w:val="0"/>
          <w:sz w:val="24"/>
          <w:szCs w:val="24"/>
          <w:lang w:val="en-US" w:eastAsia="zh-CN"/>
        </w:rPr>
        <w:t>5</w:t>
      </w:r>
      <w:r>
        <w:rPr>
          <w:rFonts w:hint="eastAsia" w:ascii="方正小标宋简体" w:hAnsi="方正小标宋简体" w:eastAsia="方正小标宋简体" w:cs="方正小标宋简体"/>
          <w:b w:val="0"/>
          <w:bCs w:val="0"/>
          <w:sz w:val="24"/>
          <w:szCs w:val="24"/>
          <w:lang w:eastAsia="zh-CN"/>
        </w:rPr>
        <w:t>-202</w:t>
      </w:r>
      <w:r>
        <w:rPr>
          <w:rFonts w:hint="eastAsia" w:ascii="方正小标宋简体" w:hAnsi="方正小标宋简体" w:eastAsia="方正小标宋简体" w:cs="方正小标宋简体"/>
          <w:b w:val="0"/>
          <w:bCs w:val="0"/>
          <w:sz w:val="24"/>
          <w:szCs w:val="24"/>
          <w:lang w:val="en-US" w:eastAsia="zh-CN"/>
        </w:rPr>
        <w:t>6</w:t>
      </w:r>
      <w:r>
        <w:rPr>
          <w:rFonts w:hint="eastAsia" w:ascii="方正小标宋简体" w:hAnsi="方正小标宋简体" w:eastAsia="方正小标宋简体" w:cs="方正小标宋简体"/>
          <w:b w:val="0"/>
          <w:bCs w:val="0"/>
          <w:sz w:val="24"/>
          <w:szCs w:val="24"/>
        </w:rPr>
        <w:t>年度团体意外险项目报价单</w:t>
      </w:r>
    </w:p>
    <w:p w14:paraId="70119DE3">
      <w:pPr>
        <w:pStyle w:val="8"/>
        <w:keepNext w:val="0"/>
        <w:keepLines w:val="0"/>
        <w:pageBreakBefore w:val="0"/>
        <w:widowControl w:val="0"/>
        <w:kinsoku/>
        <w:wordWrap/>
        <w:overflowPunct/>
        <w:topLinePunct w:val="0"/>
        <w:autoSpaceDE/>
        <w:autoSpaceDN/>
        <w:bidi w:val="0"/>
        <w:adjustRightInd/>
        <w:snapToGrid/>
        <w:spacing w:line="560" w:lineRule="exact"/>
        <w:ind w:right="0" w:firstLine="480" w:firstLineChars="200"/>
        <w:textAlignment w:val="auto"/>
        <w:outlineLvl w:val="0"/>
        <w:rPr>
          <w:rFonts w:hint="eastAsia" w:ascii="仿宋_GB2312" w:hAnsi="仿宋_GB2312" w:eastAsia="仿宋_GB2312" w:cs="仿宋_GB2312"/>
          <w:b w:val="0"/>
          <w:bCs w:val="0"/>
          <w:sz w:val="24"/>
          <w:szCs w:val="24"/>
        </w:rPr>
      </w:pPr>
    </w:p>
    <w:p w14:paraId="7B71817C">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黑体" w:hAnsi="黑体" w:eastAsia="黑体" w:cs="黑体"/>
          <w:szCs w:val="21"/>
          <w:lang w:val="en-US" w:eastAsia="zh-CN"/>
        </w:rPr>
      </w:pPr>
      <w:r>
        <w:rPr>
          <w:rFonts w:hint="eastAsia" w:ascii="黑体" w:hAnsi="黑体" w:eastAsia="黑体" w:cs="黑体"/>
          <w:szCs w:val="21"/>
          <w:lang w:eastAsia="zh-CN"/>
        </w:rPr>
        <w:t>（</w:t>
      </w:r>
      <w:r>
        <w:rPr>
          <w:rFonts w:hint="eastAsia" w:ascii="黑体" w:hAnsi="黑体" w:eastAsia="黑体" w:cs="黑体"/>
          <w:szCs w:val="21"/>
          <w:lang w:val="en-US" w:eastAsia="zh-CN"/>
        </w:rPr>
        <w:t>一</w:t>
      </w:r>
      <w:r>
        <w:rPr>
          <w:rFonts w:hint="eastAsia" w:ascii="黑体" w:hAnsi="黑体" w:eastAsia="黑体" w:cs="黑体"/>
          <w:szCs w:val="21"/>
          <w:lang w:eastAsia="zh-CN"/>
        </w:rPr>
        <w:t>）</w:t>
      </w:r>
      <w:r>
        <w:rPr>
          <w:rFonts w:hint="eastAsia" w:ascii="黑体" w:hAnsi="黑体" w:eastAsia="黑体" w:cs="黑体"/>
          <w:szCs w:val="21"/>
          <w:lang w:val="en-US" w:eastAsia="zh-CN"/>
        </w:rPr>
        <w:t>保险方案报价</w:t>
      </w:r>
    </w:p>
    <w:p w14:paraId="030AC0F8">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我司同意按以下报价</w:t>
      </w:r>
      <w:r>
        <w:rPr>
          <w:rFonts w:hint="eastAsia" w:ascii="仿宋_GB2312" w:hAnsi="仿宋_GB2312" w:eastAsia="仿宋_GB2312" w:cs="仿宋_GB2312"/>
          <w:szCs w:val="21"/>
          <w:lang w:val="en-US" w:eastAsia="zh-CN"/>
        </w:rPr>
        <w:t>作</w:t>
      </w:r>
      <w:r>
        <w:rPr>
          <w:rFonts w:hint="eastAsia" w:ascii="仿宋_GB2312" w:hAnsi="仿宋_GB2312" w:eastAsia="仿宋_GB2312" w:cs="仿宋_GB2312"/>
          <w:szCs w:val="21"/>
        </w:rPr>
        <w:t>为本项目</w:t>
      </w:r>
      <w:r>
        <w:rPr>
          <w:rFonts w:hint="eastAsia" w:ascii="仿宋_GB2312" w:hAnsi="仿宋_GB2312" w:eastAsia="仿宋_GB2312" w:cs="仿宋_GB2312"/>
          <w:szCs w:val="21"/>
          <w:lang w:val="en-US" w:eastAsia="zh-CN"/>
        </w:rPr>
        <w:t>市场调研</w:t>
      </w:r>
      <w:r>
        <w:rPr>
          <w:rFonts w:hint="eastAsia" w:ascii="仿宋_GB2312" w:hAnsi="仿宋_GB2312" w:eastAsia="仿宋_GB2312" w:cs="仿宋_GB2312"/>
          <w:szCs w:val="21"/>
        </w:rPr>
        <w:t>的唯一报价。我公司不再授权其它业务部门或代理人向投保人或经纪人进行任何形式的报价，也不得针对本项目出现两个不同的报价：</w:t>
      </w: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1"/>
        <w:gridCol w:w="1625"/>
        <w:gridCol w:w="2135"/>
        <w:gridCol w:w="2135"/>
      </w:tblGrid>
      <w:tr w14:paraId="572C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45" w:type="pct"/>
            <w:shd w:val="clear" w:color="auto" w:fill="auto"/>
            <w:vAlign w:val="center"/>
          </w:tcPr>
          <w:p w14:paraId="7E53898F">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sz w:val="20"/>
                <w:szCs w:val="20"/>
                <w:lang w:val="en-US" w:eastAsia="zh-CN"/>
              </w:rPr>
            </w:pPr>
            <w:r>
              <w:rPr>
                <w:rFonts w:hint="eastAsia" w:ascii="仿宋_GB2312" w:hAnsi="仿宋_GB2312" w:eastAsia="仿宋_GB2312" w:cs="仿宋_GB2312"/>
                <w:b/>
                <w:sz w:val="20"/>
                <w:szCs w:val="20"/>
                <w:lang w:val="en-US" w:eastAsia="zh-CN"/>
              </w:rPr>
              <w:t>项目名称</w:t>
            </w:r>
          </w:p>
        </w:tc>
        <w:tc>
          <w:tcPr>
            <w:tcW w:w="897" w:type="pct"/>
            <w:shd w:val="clear" w:color="auto" w:fill="auto"/>
            <w:vAlign w:val="center"/>
          </w:tcPr>
          <w:p w14:paraId="0033E8B1">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sz w:val="20"/>
                <w:szCs w:val="20"/>
                <w:lang w:val="en-US" w:eastAsia="zh-CN"/>
              </w:rPr>
            </w:pPr>
            <w:r>
              <w:rPr>
                <w:rFonts w:hint="eastAsia" w:ascii="仿宋_GB2312" w:hAnsi="仿宋_GB2312" w:eastAsia="仿宋_GB2312" w:cs="仿宋_GB2312"/>
                <w:b/>
                <w:sz w:val="20"/>
                <w:szCs w:val="20"/>
                <w:lang w:val="en-US" w:eastAsia="zh-CN"/>
              </w:rPr>
              <w:t>单价</w:t>
            </w:r>
            <w:r>
              <w:rPr>
                <w:rFonts w:hint="eastAsia" w:ascii="仿宋_GB2312" w:hAnsi="仿宋_GB2312" w:eastAsia="仿宋_GB2312" w:cs="仿宋_GB2312"/>
                <w:b/>
                <w:sz w:val="20"/>
                <w:szCs w:val="20"/>
                <w:lang w:eastAsia="zh-CN"/>
              </w:rPr>
              <w:t>（元</w:t>
            </w:r>
            <w:r>
              <w:rPr>
                <w:rFonts w:hint="eastAsia" w:ascii="仿宋_GB2312" w:hAnsi="仿宋_GB2312" w:eastAsia="仿宋_GB2312" w:cs="仿宋_GB2312"/>
                <w:b/>
                <w:sz w:val="20"/>
                <w:szCs w:val="20"/>
                <w:lang w:val="en-US" w:eastAsia="zh-CN"/>
              </w:rPr>
              <w:t>/人</w:t>
            </w:r>
            <w:r>
              <w:rPr>
                <w:rFonts w:hint="eastAsia" w:ascii="仿宋_GB2312" w:hAnsi="仿宋_GB2312" w:eastAsia="仿宋_GB2312" w:cs="仿宋_GB2312"/>
                <w:b/>
                <w:sz w:val="20"/>
                <w:szCs w:val="20"/>
                <w:lang w:eastAsia="zh-CN"/>
              </w:rPr>
              <w:t>）</w:t>
            </w:r>
          </w:p>
        </w:tc>
        <w:tc>
          <w:tcPr>
            <w:tcW w:w="1178" w:type="pct"/>
            <w:shd w:val="clear" w:color="auto" w:fill="auto"/>
            <w:vAlign w:val="center"/>
          </w:tcPr>
          <w:p w14:paraId="5F0E2BD2">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sz w:val="20"/>
                <w:szCs w:val="20"/>
                <w:lang w:val="en-US" w:eastAsia="zh-CN"/>
              </w:rPr>
            </w:pPr>
            <w:r>
              <w:rPr>
                <w:rFonts w:hint="eastAsia" w:ascii="仿宋_GB2312" w:hAnsi="仿宋_GB2312" w:eastAsia="仿宋_GB2312" w:cs="仿宋_GB2312"/>
                <w:b/>
                <w:sz w:val="20"/>
                <w:szCs w:val="20"/>
                <w:lang w:val="en-US" w:eastAsia="zh-CN"/>
              </w:rPr>
              <w:t>预计参保人数（人）</w:t>
            </w:r>
          </w:p>
        </w:tc>
        <w:tc>
          <w:tcPr>
            <w:tcW w:w="1178" w:type="pct"/>
            <w:shd w:val="clear" w:color="auto" w:fill="auto"/>
            <w:vAlign w:val="center"/>
          </w:tcPr>
          <w:p w14:paraId="100B00C8">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sz w:val="20"/>
                <w:szCs w:val="20"/>
                <w:lang w:val="en-US" w:eastAsia="zh-CN"/>
              </w:rPr>
            </w:pPr>
            <w:r>
              <w:rPr>
                <w:rFonts w:hint="eastAsia" w:ascii="仿宋_GB2312" w:hAnsi="仿宋_GB2312" w:eastAsia="仿宋_GB2312" w:cs="仿宋_GB2312"/>
                <w:b/>
                <w:sz w:val="20"/>
                <w:szCs w:val="20"/>
                <w:lang w:val="en-US" w:eastAsia="zh-CN"/>
              </w:rPr>
              <w:t>合计金额（元）</w:t>
            </w:r>
          </w:p>
        </w:tc>
      </w:tr>
      <w:tr w14:paraId="47EC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745" w:type="pct"/>
            <w:vAlign w:val="center"/>
          </w:tcPr>
          <w:p w14:paraId="07E08A61">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深圳市宝安排水有限公司</w:t>
            </w:r>
          </w:p>
          <w:p w14:paraId="3D692606">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团体意外伤害保险</w:t>
            </w:r>
          </w:p>
        </w:tc>
        <w:tc>
          <w:tcPr>
            <w:tcW w:w="897" w:type="pct"/>
            <w:shd w:val="clear" w:color="auto" w:fill="FFFFFF" w:themeFill="background1"/>
            <w:vAlign w:val="center"/>
          </w:tcPr>
          <w:p w14:paraId="6BD0C57E">
            <w:pPr>
              <w:keepNext w:val="0"/>
              <w:keepLines w:val="0"/>
              <w:pageBreakBefore w:val="0"/>
              <w:widowControl w:val="0"/>
              <w:kinsoku/>
              <w:wordWrap/>
              <w:overflowPunct/>
              <w:topLinePunct w:val="0"/>
              <w:autoSpaceDE/>
              <w:autoSpaceDN/>
              <w:bidi w:val="0"/>
              <w:adjustRightInd/>
              <w:snapToGrid/>
              <w:spacing w:line="240" w:lineRule="auto"/>
              <w:ind w:right="0" w:firstLine="400" w:firstLineChars="200"/>
              <w:jc w:val="center"/>
              <w:textAlignment w:val="auto"/>
              <w:rPr>
                <w:rFonts w:hint="eastAsia" w:ascii="仿宋_GB2312" w:hAnsi="仿宋_GB2312" w:eastAsia="仿宋_GB2312" w:cs="仿宋_GB2312"/>
                <w:sz w:val="20"/>
                <w:szCs w:val="20"/>
                <w:lang w:val="en-US" w:eastAsia="zh-CN"/>
              </w:rPr>
            </w:pPr>
          </w:p>
        </w:tc>
        <w:tc>
          <w:tcPr>
            <w:tcW w:w="1178" w:type="pct"/>
            <w:shd w:val="clear" w:color="auto" w:fill="FFFFFF" w:themeFill="background1"/>
            <w:vAlign w:val="center"/>
          </w:tcPr>
          <w:p w14:paraId="282DFD3B">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1166</w:t>
            </w:r>
          </w:p>
        </w:tc>
        <w:tc>
          <w:tcPr>
            <w:tcW w:w="1178" w:type="pct"/>
            <w:shd w:val="clear" w:color="auto" w:fill="FFFFFF" w:themeFill="background1"/>
            <w:vAlign w:val="center"/>
          </w:tcPr>
          <w:p w14:paraId="191F9126">
            <w:pPr>
              <w:keepNext w:val="0"/>
              <w:keepLines w:val="0"/>
              <w:pageBreakBefore w:val="0"/>
              <w:widowControl w:val="0"/>
              <w:kinsoku/>
              <w:wordWrap/>
              <w:overflowPunct/>
              <w:topLinePunct w:val="0"/>
              <w:autoSpaceDE/>
              <w:autoSpaceDN/>
              <w:bidi w:val="0"/>
              <w:adjustRightInd/>
              <w:snapToGrid/>
              <w:spacing w:line="240" w:lineRule="auto"/>
              <w:ind w:right="0" w:firstLine="400" w:firstLineChars="200"/>
              <w:jc w:val="center"/>
              <w:textAlignment w:val="auto"/>
              <w:rPr>
                <w:rFonts w:hint="eastAsia" w:ascii="仿宋_GB2312" w:hAnsi="仿宋_GB2312" w:eastAsia="仿宋_GB2312" w:cs="仿宋_GB2312"/>
                <w:sz w:val="20"/>
                <w:szCs w:val="20"/>
              </w:rPr>
            </w:pPr>
          </w:p>
        </w:tc>
      </w:tr>
    </w:tbl>
    <w:p w14:paraId="56368F1B">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default"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注：1.报价请提供保险条款措辞明细。2.如在“（二）报价方案和询价方案差异表”对方案进行调整的，本处报价是对应调整后方案的报价。3.新增人员应按照同方案和单价进行承保。4.预计参保人数不是采购人保证的参保人数，具体人数以实际出单为准。</w:t>
      </w:r>
    </w:p>
    <w:p w14:paraId="6D5A14F1">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黑体" w:hAnsi="黑体" w:eastAsia="黑体" w:cs="黑体"/>
          <w:szCs w:val="21"/>
          <w:lang w:val="en-US" w:eastAsia="zh-CN"/>
        </w:rPr>
      </w:pPr>
      <w:r>
        <w:rPr>
          <w:rFonts w:hint="eastAsia" w:ascii="黑体" w:hAnsi="黑体" w:eastAsia="黑体" w:cs="黑体"/>
          <w:szCs w:val="21"/>
          <w:lang w:eastAsia="zh-CN"/>
        </w:rPr>
        <w:t>（</w:t>
      </w:r>
      <w:r>
        <w:rPr>
          <w:rFonts w:hint="eastAsia" w:ascii="黑体" w:hAnsi="黑体" w:eastAsia="黑体" w:cs="黑体"/>
          <w:szCs w:val="21"/>
          <w:lang w:val="en-US" w:eastAsia="zh-CN"/>
        </w:rPr>
        <w:t>二</w:t>
      </w:r>
      <w:r>
        <w:rPr>
          <w:rFonts w:hint="eastAsia" w:ascii="黑体" w:hAnsi="黑体" w:eastAsia="黑体" w:cs="黑体"/>
          <w:szCs w:val="21"/>
          <w:lang w:eastAsia="zh-CN"/>
        </w:rPr>
        <w:t>）</w:t>
      </w:r>
      <w:r>
        <w:rPr>
          <w:rFonts w:hint="eastAsia" w:ascii="黑体" w:hAnsi="黑体" w:eastAsia="黑体" w:cs="黑体"/>
          <w:szCs w:val="21"/>
          <w:lang w:val="en-US" w:eastAsia="zh-CN"/>
        </w:rPr>
        <w:t>报价方案和询价方案差异表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694"/>
        <w:gridCol w:w="2120"/>
        <w:gridCol w:w="2154"/>
        <w:gridCol w:w="2154"/>
      </w:tblGrid>
      <w:tr w14:paraId="2C9E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vMerge w:val="restart"/>
            <w:vAlign w:val="center"/>
          </w:tcPr>
          <w:p w14:paraId="377268AB">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序号</w:t>
            </w:r>
          </w:p>
        </w:tc>
        <w:tc>
          <w:tcPr>
            <w:tcW w:w="2118" w:type="pct"/>
            <w:gridSpan w:val="2"/>
            <w:vAlign w:val="center"/>
          </w:tcPr>
          <w:p w14:paraId="5FB5DA54">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调研方案</w:t>
            </w:r>
          </w:p>
        </w:tc>
        <w:tc>
          <w:tcPr>
            <w:tcW w:w="1195" w:type="pct"/>
            <w:vMerge w:val="restart"/>
            <w:vAlign w:val="center"/>
          </w:tcPr>
          <w:p w14:paraId="58E4BEB4">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sz w:val="20"/>
                <w:szCs w:val="20"/>
                <w:lang w:val="en-US" w:eastAsia="zh-CN"/>
              </w:rPr>
            </w:pPr>
            <w:r>
              <w:rPr>
                <w:rFonts w:hint="eastAsia" w:ascii="仿宋_GB2312" w:hAnsi="仿宋_GB2312" w:eastAsia="仿宋_GB2312" w:cs="仿宋_GB2312"/>
                <w:b/>
                <w:sz w:val="20"/>
                <w:szCs w:val="20"/>
                <w:lang w:val="en-US" w:eastAsia="zh-CN"/>
              </w:rPr>
              <w:t>偏离情况</w:t>
            </w:r>
          </w:p>
        </w:tc>
        <w:tc>
          <w:tcPr>
            <w:tcW w:w="1195" w:type="pct"/>
            <w:vMerge w:val="restart"/>
            <w:vAlign w:val="center"/>
          </w:tcPr>
          <w:p w14:paraId="558BD23E">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sz w:val="20"/>
                <w:szCs w:val="20"/>
                <w:lang w:val="en-US" w:eastAsia="zh-CN"/>
              </w:rPr>
            </w:pPr>
            <w:r>
              <w:rPr>
                <w:rFonts w:hint="eastAsia" w:ascii="仿宋_GB2312" w:hAnsi="仿宋_GB2312" w:eastAsia="仿宋_GB2312" w:cs="仿宋_GB2312"/>
                <w:b/>
                <w:sz w:val="20"/>
                <w:szCs w:val="20"/>
              </w:rPr>
              <w:t>报价方案</w:t>
            </w:r>
            <w:r>
              <w:rPr>
                <w:rFonts w:hint="eastAsia" w:ascii="仿宋_GB2312" w:hAnsi="仿宋_GB2312" w:eastAsia="仿宋_GB2312" w:cs="仿宋_GB2312"/>
                <w:b/>
                <w:sz w:val="20"/>
                <w:szCs w:val="20"/>
                <w:lang w:val="en-US" w:eastAsia="zh-CN"/>
              </w:rPr>
              <w:t>内容</w:t>
            </w:r>
          </w:p>
        </w:tc>
      </w:tr>
      <w:tr w14:paraId="1465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491" w:type="pct"/>
            <w:vMerge w:val="continue"/>
            <w:vAlign w:val="center"/>
          </w:tcPr>
          <w:p w14:paraId="3CF9697D">
            <w:pPr>
              <w:pStyle w:val="8"/>
              <w:keepNext w:val="0"/>
              <w:keepLines w:val="0"/>
              <w:pageBreakBefore w:val="0"/>
              <w:widowControl w:val="0"/>
              <w:kinsoku/>
              <w:wordWrap/>
              <w:overflowPunct/>
              <w:topLinePunct w:val="0"/>
              <w:autoSpaceDE/>
              <w:autoSpaceDN/>
              <w:bidi w:val="0"/>
              <w:adjustRightInd/>
              <w:snapToGrid/>
              <w:spacing w:line="360" w:lineRule="auto"/>
              <w:ind w:right="0" w:firstLine="402" w:firstLineChars="200"/>
              <w:jc w:val="center"/>
              <w:textAlignment w:val="auto"/>
              <w:rPr>
                <w:rFonts w:hint="eastAsia" w:ascii="仿宋_GB2312" w:hAnsi="仿宋_GB2312" w:eastAsia="仿宋_GB2312" w:cs="仿宋_GB2312"/>
                <w:b/>
                <w:sz w:val="20"/>
                <w:szCs w:val="20"/>
              </w:rPr>
            </w:pPr>
          </w:p>
        </w:tc>
        <w:tc>
          <w:tcPr>
            <w:tcW w:w="942" w:type="pct"/>
            <w:vAlign w:val="center"/>
          </w:tcPr>
          <w:p w14:paraId="484CF083">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sz w:val="20"/>
                <w:szCs w:val="20"/>
                <w:lang w:val="en-US" w:eastAsia="zh-CN"/>
              </w:rPr>
            </w:pPr>
            <w:r>
              <w:rPr>
                <w:rFonts w:hint="eastAsia" w:ascii="仿宋_GB2312" w:hAnsi="仿宋_GB2312" w:eastAsia="仿宋_GB2312" w:cs="仿宋_GB2312"/>
                <w:b/>
                <w:sz w:val="20"/>
                <w:szCs w:val="20"/>
              </w:rPr>
              <w:t>条目</w:t>
            </w:r>
          </w:p>
        </w:tc>
        <w:tc>
          <w:tcPr>
            <w:tcW w:w="1175" w:type="pct"/>
            <w:vAlign w:val="center"/>
          </w:tcPr>
          <w:p w14:paraId="48DB2BF1">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sz w:val="20"/>
                <w:szCs w:val="20"/>
              </w:rPr>
            </w:pPr>
            <w:r>
              <w:rPr>
                <w:rFonts w:hint="eastAsia" w:ascii="仿宋_GB2312" w:hAnsi="仿宋_GB2312" w:eastAsia="仿宋_GB2312" w:cs="仿宋_GB2312"/>
                <w:b/>
                <w:sz w:val="20"/>
                <w:szCs w:val="20"/>
              </w:rPr>
              <w:t>内容</w:t>
            </w:r>
          </w:p>
        </w:tc>
        <w:tc>
          <w:tcPr>
            <w:tcW w:w="1195" w:type="pct"/>
            <w:vMerge w:val="continue"/>
            <w:vAlign w:val="center"/>
          </w:tcPr>
          <w:p w14:paraId="63B09ED0">
            <w:pPr>
              <w:pStyle w:val="8"/>
              <w:keepNext w:val="0"/>
              <w:keepLines w:val="0"/>
              <w:pageBreakBefore w:val="0"/>
              <w:widowControl w:val="0"/>
              <w:kinsoku/>
              <w:wordWrap/>
              <w:overflowPunct/>
              <w:topLinePunct w:val="0"/>
              <w:autoSpaceDE/>
              <w:autoSpaceDN/>
              <w:bidi w:val="0"/>
              <w:adjustRightInd/>
              <w:snapToGrid/>
              <w:spacing w:line="360" w:lineRule="auto"/>
              <w:ind w:right="0" w:firstLine="402" w:firstLineChars="200"/>
              <w:jc w:val="center"/>
              <w:textAlignment w:val="auto"/>
              <w:rPr>
                <w:rFonts w:hint="eastAsia" w:ascii="仿宋_GB2312" w:hAnsi="仿宋_GB2312" w:eastAsia="仿宋_GB2312" w:cs="仿宋_GB2312"/>
                <w:b/>
                <w:sz w:val="20"/>
                <w:szCs w:val="20"/>
              </w:rPr>
            </w:pPr>
          </w:p>
        </w:tc>
        <w:tc>
          <w:tcPr>
            <w:tcW w:w="1195" w:type="pct"/>
            <w:vMerge w:val="continue"/>
            <w:vAlign w:val="center"/>
          </w:tcPr>
          <w:p w14:paraId="5CBA14C5">
            <w:pPr>
              <w:pStyle w:val="8"/>
              <w:keepNext w:val="0"/>
              <w:keepLines w:val="0"/>
              <w:pageBreakBefore w:val="0"/>
              <w:widowControl w:val="0"/>
              <w:kinsoku/>
              <w:wordWrap/>
              <w:overflowPunct/>
              <w:topLinePunct w:val="0"/>
              <w:autoSpaceDE/>
              <w:autoSpaceDN/>
              <w:bidi w:val="0"/>
              <w:adjustRightInd/>
              <w:snapToGrid/>
              <w:spacing w:line="360" w:lineRule="auto"/>
              <w:ind w:right="0" w:firstLine="402" w:firstLineChars="200"/>
              <w:jc w:val="center"/>
              <w:textAlignment w:val="auto"/>
              <w:rPr>
                <w:rFonts w:hint="eastAsia" w:ascii="仿宋_GB2312" w:hAnsi="仿宋_GB2312" w:eastAsia="仿宋_GB2312" w:cs="仿宋_GB2312"/>
                <w:b/>
                <w:sz w:val="20"/>
                <w:szCs w:val="20"/>
              </w:rPr>
            </w:pPr>
          </w:p>
        </w:tc>
      </w:tr>
      <w:tr w14:paraId="0B70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shd w:val="clear" w:color="auto" w:fill="auto"/>
          </w:tcPr>
          <w:p w14:paraId="1F389901">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sz w:val="20"/>
                <w:szCs w:val="20"/>
                <w:lang w:val="en-US" w:eastAsia="zh-CN"/>
              </w:rPr>
            </w:pPr>
            <w:r>
              <w:rPr>
                <w:rFonts w:hint="eastAsia" w:ascii="仿宋_GB2312" w:hAnsi="仿宋_GB2312" w:eastAsia="仿宋_GB2312" w:cs="仿宋_GB2312"/>
                <w:b/>
                <w:sz w:val="20"/>
                <w:szCs w:val="20"/>
                <w:lang w:val="en-US" w:eastAsia="zh-CN"/>
              </w:rPr>
              <w:t>1</w:t>
            </w:r>
          </w:p>
        </w:tc>
        <w:tc>
          <w:tcPr>
            <w:tcW w:w="942" w:type="pct"/>
            <w:shd w:val="clear" w:color="auto" w:fill="auto"/>
          </w:tcPr>
          <w:p w14:paraId="2FEC4FA3">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仿宋_GB2312" w:hAnsi="仿宋_GB2312" w:eastAsia="仿宋_GB2312" w:cs="仿宋_GB2312"/>
                <w:b/>
                <w:sz w:val="20"/>
                <w:szCs w:val="20"/>
                <w:lang w:val="en-US" w:eastAsia="zh-CN"/>
              </w:rPr>
            </w:pPr>
          </w:p>
        </w:tc>
        <w:tc>
          <w:tcPr>
            <w:tcW w:w="1175" w:type="pct"/>
            <w:shd w:val="clear" w:color="auto" w:fill="auto"/>
          </w:tcPr>
          <w:p w14:paraId="1652E634">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仿宋_GB2312" w:hAnsi="仿宋_GB2312" w:eastAsia="仿宋_GB2312" w:cs="仿宋_GB2312"/>
                <w:b/>
                <w:sz w:val="20"/>
                <w:szCs w:val="20"/>
              </w:rPr>
            </w:pPr>
          </w:p>
        </w:tc>
        <w:tc>
          <w:tcPr>
            <w:tcW w:w="1195" w:type="pct"/>
            <w:shd w:val="clear" w:color="auto" w:fill="auto"/>
          </w:tcPr>
          <w:p w14:paraId="5C862347">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仿宋_GB2312" w:hAnsi="仿宋_GB2312" w:eastAsia="仿宋_GB2312" w:cs="仿宋_GB2312"/>
                <w:b/>
                <w:sz w:val="20"/>
                <w:szCs w:val="20"/>
                <w:lang w:val="en-US" w:eastAsia="zh-CN"/>
              </w:rPr>
            </w:pPr>
          </w:p>
        </w:tc>
        <w:tc>
          <w:tcPr>
            <w:tcW w:w="1195" w:type="pct"/>
            <w:shd w:val="clear" w:color="auto" w:fill="auto"/>
          </w:tcPr>
          <w:p w14:paraId="6653D233">
            <w:pPr>
              <w:pStyle w:val="8"/>
              <w:keepNext w:val="0"/>
              <w:keepLines w:val="0"/>
              <w:pageBreakBefore w:val="0"/>
              <w:widowControl w:val="0"/>
              <w:kinsoku/>
              <w:wordWrap/>
              <w:overflowPunct/>
              <w:topLinePunct w:val="0"/>
              <w:autoSpaceDE/>
              <w:autoSpaceDN/>
              <w:bidi w:val="0"/>
              <w:adjustRightInd/>
              <w:snapToGrid/>
              <w:spacing w:line="360" w:lineRule="auto"/>
              <w:ind w:right="0" w:firstLine="402" w:firstLineChars="200"/>
              <w:jc w:val="left"/>
              <w:textAlignment w:val="auto"/>
              <w:rPr>
                <w:rFonts w:hint="eastAsia" w:ascii="仿宋_GB2312" w:hAnsi="仿宋_GB2312" w:eastAsia="仿宋_GB2312" w:cs="仿宋_GB2312"/>
                <w:b/>
                <w:sz w:val="20"/>
                <w:szCs w:val="20"/>
                <w:lang w:val="en-US" w:eastAsia="zh-CN"/>
              </w:rPr>
            </w:pPr>
          </w:p>
        </w:tc>
      </w:tr>
      <w:tr w14:paraId="6179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shd w:val="clear" w:color="auto" w:fill="auto"/>
          </w:tcPr>
          <w:p w14:paraId="4B208392">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_GB2312" w:hAnsi="仿宋_GB2312" w:eastAsia="仿宋_GB2312" w:cs="仿宋_GB2312"/>
                <w:b/>
                <w:sz w:val="20"/>
                <w:szCs w:val="20"/>
                <w:lang w:val="en-US" w:eastAsia="zh-CN"/>
              </w:rPr>
            </w:pPr>
            <w:r>
              <w:rPr>
                <w:rFonts w:hint="eastAsia" w:ascii="仿宋_GB2312" w:hAnsi="仿宋_GB2312" w:eastAsia="仿宋_GB2312" w:cs="仿宋_GB2312"/>
                <w:b/>
                <w:sz w:val="20"/>
                <w:szCs w:val="20"/>
                <w:lang w:val="en-US" w:eastAsia="zh-CN"/>
              </w:rPr>
              <w:t>2</w:t>
            </w:r>
          </w:p>
        </w:tc>
        <w:tc>
          <w:tcPr>
            <w:tcW w:w="942" w:type="pct"/>
            <w:shd w:val="clear" w:color="auto" w:fill="auto"/>
          </w:tcPr>
          <w:p w14:paraId="5FF5A352">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仿宋_GB2312" w:hAnsi="仿宋_GB2312" w:eastAsia="仿宋_GB2312" w:cs="仿宋_GB2312"/>
                <w:b/>
                <w:sz w:val="20"/>
                <w:szCs w:val="20"/>
              </w:rPr>
            </w:pPr>
          </w:p>
        </w:tc>
        <w:tc>
          <w:tcPr>
            <w:tcW w:w="1175" w:type="pct"/>
            <w:shd w:val="clear" w:color="auto" w:fill="auto"/>
          </w:tcPr>
          <w:p w14:paraId="670D924E">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仿宋_GB2312" w:hAnsi="仿宋_GB2312" w:eastAsia="仿宋_GB2312" w:cs="仿宋_GB2312"/>
                <w:b/>
                <w:sz w:val="20"/>
                <w:szCs w:val="20"/>
              </w:rPr>
            </w:pPr>
          </w:p>
        </w:tc>
        <w:tc>
          <w:tcPr>
            <w:tcW w:w="1195" w:type="pct"/>
            <w:shd w:val="clear" w:color="auto" w:fill="auto"/>
          </w:tcPr>
          <w:p w14:paraId="4C492133">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仿宋_GB2312" w:hAnsi="仿宋_GB2312" w:eastAsia="仿宋_GB2312" w:cs="仿宋_GB2312"/>
                <w:b/>
                <w:sz w:val="20"/>
                <w:szCs w:val="20"/>
                <w:lang w:val="en-US" w:eastAsia="zh-CN"/>
              </w:rPr>
            </w:pPr>
          </w:p>
        </w:tc>
        <w:tc>
          <w:tcPr>
            <w:tcW w:w="1195" w:type="pct"/>
            <w:shd w:val="clear" w:color="auto" w:fill="auto"/>
          </w:tcPr>
          <w:p w14:paraId="00296746">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仿宋_GB2312" w:hAnsi="仿宋_GB2312" w:eastAsia="仿宋_GB2312" w:cs="仿宋_GB2312"/>
                <w:b/>
                <w:sz w:val="20"/>
                <w:szCs w:val="20"/>
                <w:lang w:val="en-US" w:eastAsia="zh-CN"/>
              </w:rPr>
            </w:pPr>
          </w:p>
        </w:tc>
      </w:tr>
      <w:tr w14:paraId="0C7C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shd w:val="clear" w:color="auto" w:fill="auto"/>
          </w:tcPr>
          <w:p w14:paraId="6E2A69DE">
            <w:pPr>
              <w:pStyle w:val="8"/>
              <w:keepNext w:val="0"/>
              <w:keepLines w:val="0"/>
              <w:pageBreakBefore w:val="0"/>
              <w:widowControl w:val="0"/>
              <w:kinsoku/>
              <w:wordWrap/>
              <w:overflowPunct/>
              <w:topLinePunct w:val="0"/>
              <w:autoSpaceDE/>
              <w:autoSpaceDN/>
              <w:bidi w:val="0"/>
              <w:adjustRightInd/>
              <w:snapToGrid/>
              <w:spacing w:line="360" w:lineRule="auto"/>
              <w:ind w:right="0" w:firstLine="402" w:firstLineChars="200"/>
              <w:jc w:val="center"/>
              <w:textAlignment w:val="auto"/>
              <w:rPr>
                <w:rFonts w:hint="default" w:ascii="仿宋_GB2312" w:hAnsi="仿宋_GB2312" w:eastAsia="仿宋_GB2312" w:cs="仿宋_GB2312"/>
                <w:b/>
                <w:sz w:val="20"/>
                <w:szCs w:val="20"/>
                <w:lang w:val="en-US" w:eastAsia="zh-CN"/>
              </w:rPr>
            </w:pPr>
            <w:r>
              <w:rPr>
                <w:rFonts w:hint="eastAsia" w:ascii="仿宋_GB2312" w:hAnsi="仿宋_GB2312" w:eastAsia="仿宋_GB2312" w:cs="仿宋_GB2312"/>
                <w:b/>
                <w:sz w:val="20"/>
                <w:szCs w:val="20"/>
                <w:lang w:val="en-US" w:eastAsia="zh-CN"/>
              </w:rPr>
              <w:t>...</w:t>
            </w:r>
          </w:p>
        </w:tc>
        <w:tc>
          <w:tcPr>
            <w:tcW w:w="942" w:type="pct"/>
            <w:shd w:val="clear" w:color="auto" w:fill="auto"/>
          </w:tcPr>
          <w:p w14:paraId="4CB3B363">
            <w:pPr>
              <w:pStyle w:val="8"/>
              <w:keepNext w:val="0"/>
              <w:keepLines w:val="0"/>
              <w:pageBreakBefore w:val="0"/>
              <w:widowControl w:val="0"/>
              <w:kinsoku/>
              <w:wordWrap/>
              <w:overflowPunct/>
              <w:topLinePunct w:val="0"/>
              <w:autoSpaceDE/>
              <w:autoSpaceDN/>
              <w:bidi w:val="0"/>
              <w:adjustRightInd/>
              <w:snapToGrid/>
              <w:spacing w:line="360" w:lineRule="auto"/>
              <w:ind w:right="0" w:firstLine="402" w:firstLineChars="200"/>
              <w:jc w:val="left"/>
              <w:textAlignment w:val="auto"/>
              <w:rPr>
                <w:rFonts w:hint="eastAsia" w:ascii="仿宋_GB2312" w:hAnsi="仿宋_GB2312" w:eastAsia="仿宋_GB2312" w:cs="仿宋_GB2312"/>
                <w:b/>
                <w:sz w:val="20"/>
                <w:szCs w:val="20"/>
              </w:rPr>
            </w:pPr>
          </w:p>
        </w:tc>
        <w:tc>
          <w:tcPr>
            <w:tcW w:w="1175" w:type="pct"/>
            <w:shd w:val="clear" w:color="auto" w:fill="auto"/>
          </w:tcPr>
          <w:p w14:paraId="5D342B1E">
            <w:pPr>
              <w:pStyle w:val="8"/>
              <w:keepNext w:val="0"/>
              <w:keepLines w:val="0"/>
              <w:pageBreakBefore w:val="0"/>
              <w:widowControl w:val="0"/>
              <w:kinsoku/>
              <w:wordWrap/>
              <w:overflowPunct/>
              <w:topLinePunct w:val="0"/>
              <w:autoSpaceDE/>
              <w:autoSpaceDN/>
              <w:bidi w:val="0"/>
              <w:adjustRightInd/>
              <w:snapToGrid/>
              <w:spacing w:line="360" w:lineRule="auto"/>
              <w:ind w:right="0" w:firstLine="402" w:firstLineChars="200"/>
              <w:jc w:val="left"/>
              <w:textAlignment w:val="auto"/>
              <w:rPr>
                <w:rFonts w:hint="eastAsia" w:ascii="仿宋_GB2312" w:hAnsi="仿宋_GB2312" w:eastAsia="仿宋_GB2312" w:cs="仿宋_GB2312"/>
                <w:b/>
                <w:sz w:val="20"/>
                <w:szCs w:val="20"/>
              </w:rPr>
            </w:pPr>
          </w:p>
        </w:tc>
        <w:tc>
          <w:tcPr>
            <w:tcW w:w="1195" w:type="pct"/>
            <w:shd w:val="clear" w:color="auto" w:fill="auto"/>
          </w:tcPr>
          <w:p w14:paraId="0A8A9494">
            <w:pPr>
              <w:pStyle w:val="8"/>
              <w:keepNext w:val="0"/>
              <w:keepLines w:val="0"/>
              <w:pageBreakBefore w:val="0"/>
              <w:widowControl w:val="0"/>
              <w:kinsoku/>
              <w:wordWrap/>
              <w:overflowPunct/>
              <w:topLinePunct w:val="0"/>
              <w:autoSpaceDE/>
              <w:autoSpaceDN/>
              <w:bidi w:val="0"/>
              <w:adjustRightInd/>
              <w:snapToGrid/>
              <w:spacing w:line="360" w:lineRule="auto"/>
              <w:ind w:right="0" w:firstLine="402" w:firstLineChars="200"/>
              <w:jc w:val="left"/>
              <w:textAlignment w:val="auto"/>
              <w:rPr>
                <w:rFonts w:hint="eastAsia" w:ascii="仿宋_GB2312" w:hAnsi="仿宋_GB2312" w:eastAsia="仿宋_GB2312" w:cs="仿宋_GB2312"/>
                <w:b/>
                <w:sz w:val="20"/>
                <w:szCs w:val="20"/>
              </w:rPr>
            </w:pPr>
          </w:p>
        </w:tc>
        <w:tc>
          <w:tcPr>
            <w:tcW w:w="1195" w:type="pct"/>
            <w:shd w:val="clear" w:color="auto" w:fill="auto"/>
          </w:tcPr>
          <w:p w14:paraId="40E9142C">
            <w:pPr>
              <w:pStyle w:val="8"/>
              <w:keepNext w:val="0"/>
              <w:keepLines w:val="0"/>
              <w:pageBreakBefore w:val="0"/>
              <w:widowControl w:val="0"/>
              <w:kinsoku/>
              <w:wordWrap/>
              <w:overflowPunct/>
              <w:topLinePunct w:val="0"/>
              <w:autoSpaceDE/>
              <w:autoSpaceDN/>
              <w:bidi w:val="0"/>
              <w:adjustRightInd/>
              <w:snapToGrid/>
              <w:spacing w:line="360" w:lineRule="auto"/>
              <w:ind w:right="0" w:firstLine="402" w:firstLineChars="200"/>
              <w:jc w:val="left"/>
              <w:textAlignment w:val="auto"/>
              <w:rPr>
                <w:rFonts w:hint="eastAsia" w:ascii="仿宋_GB2312" w:hAnsi="仿宋_GB2312" w:eastAsia="仿宋_GB2312" w:cs="仿宋_GB2312"/>
                <w:b/>
                <w:sz w:val="20"/>
                <w:szCs w:val="20"/>
              </w:rPr>
            </w:pPr>
          </w:p>
        </w:tc>
      </w:tr>
    </w:tbl>
    <w:p w14:paraId="2CD8B3A3">
      <w:pPr>
        <w:pStyle w:val="2"/>
        <w:keepNext w:val="0"/>
        <w:keepLines w:val="0"/>
        <w:pageBreakBefore w:val="0"/>
        <w:widowControl w:val="0"/>
        <w:kinsoku/>
        <w:wordWrap/>
        <w:overflowPunct/>
        <w:topLinePunct w:val="0"/>
        <w:autoSpaceDE/>
        <w:autoSpaceDN/>
        <w:bidi w:val="0"/>
        <w:adjustRightInd/>
        <w:snapToGrid/>
        <w:spacing w:after="0" w:line="360" w:lineRule="auto"/>
        <w:ind w:right="0" w:firstLine="420"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注：报价需仔细阅读保险方案中的各项保险责任，保险公司可用公司已报备条款响应方案，但已报备条款与保险责任要求存在差异的必须在差异表中明确，否则视同完全响应。</w:t>
      </w:r>
    </w:p>
    <w:p w14:paraId="3A80BD8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firstLine="420" w:firstLineChars="200"/>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采购人员工自行购买产品介绍</w:t>
      </w:r>
    </w:p>
    <w:p w14:paraId="0A7F479C">
      <w:pPr>
        <w:keepNext w:val="0"/>
        <w:keepLines w:val="0"/>
        <w:pageBreakBefore w:val="0"/>
        <w:widowControl w:val="0"/>
        <w:numPr>
          <w:ilvl w:val="0"/>
          <w:numId w:val="2"/>
        </w:numPr>
        <w:kinsoku/>
        <w:wordWrap/>
        <w:overflowPunct/>
        <w:topLinePunct w:val="0"/>
        <w:autoSpaceDE/>
        <w:autoSpaceDN/>
        <w:bidi w:val="0"/>
        <w:adjustRightInd w:val="0"/>
        <w:snapToGrid/>
        <w:spacing w:line="360" w:lineRule="auto"/>
        <w:ind w:left="0" w:leftChars="0" w:right="0" w:firstLine="420" w:firstLineChars="200"/>
        <w:textAlignment w:val="auto"/>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产品保障内容</w:t>
      </w:r>
    </w:p>
    <w:p w14:paraId="1BCA2853">
      <w:pPr>
        <w:keepNext w:val="0"/>
        <w:keepLines w:val="0"/>
        <w:pageBreakBefore w:val="0"/>
        <w:widowControl w:val="0"/>
        <w:numPr>
          <w:ilvl w:val="0"/>
          <w:numId w:val="2"/>
        </w:numPr>
        <w:kinsoku/>
        <w:wordWrap/>
        <w:overflowPunct/>
        <w:topLinePunct w:val="0"/>
        <w:autoSpaceDE/>
        <w:autoSpaceDN/>
        <w:bidi w:val="0"/>
        <w:adjustRightInd w:val="0"/>
        <w:snapToGrid/>
        <w:spacing w:line="360" w:lineRule="auto"/>
        <w:ind w:left="0" w:leftChars="0" w:right="0" w:firstLine="420" w:firstLineChars="200"/>
        <w:textAlignment w:val="auto"/>
        <w:rPr>
          <w:rFonts w:hint="default"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报价</w:t>
      </w:r>
    </w:p>
    <w:p w14:paraId="4E858E9C">
      <w:pPr>
        <w:keepNext w:val="0"/>
        <w:keepLines w:val="0"/>
        <w:pageBreakBefore w:val="0"/>
        <w:widowControl w:val="0"/>
        <w:numPr>
          <w:ilvl w:val="0"/>
          <w:numId w:val="2"/>
        </w:numPr>
        <w:kinsoku/>
        <w:wordWrap/>
        <w:overflowPunct/>
        <w:topLinePunct w:val="0"/>
        <w:autoSpaceDE/>
        <w:autoSpaceDN/>
        <w:bidi w:val="0"/>
        <w:adjustRightInd w:val="0"/>
        <w:snapToGrid/>
        <w:spacing w:line="360" w:lineRule="auto"/>
        <w:ind w:left="0" w:leftChars="0" w:right="0" w:firstLine="420" w:firstLineChars="200"/>
        <w:textAlignment w:val="auto"/>
        <w:rPr>
          <w:rFonts w:hint="default"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缴费方式</w:t>
      </w:r>
    </w:p>
    <w:p w14:paraId="419A31B1">
      <w:pPr>
        <w:rPr>
          <w:rFonts w:hint="eastAsia"/>
          <w:lang w:val="en-US" w:eastAsia="zh-CN"/>
        </w:rPr>
      </w:pPr>
    </w:p>
    <w:p w14:paraId="7E23CF82">
      <w:pPr>
        <w:pStyle w:val="2"/>
        <w:keepNext w:val="0"/>
        <w:keepLines w:val="0"/>
        <w:pageBreakBefore w:val="0"/>
        <w:widowControl w:val="0"/>
        <w:kinsoku/>
        <w:wordWrap/>
        <w:overflowPunct/>
        <w:topLinePunct w:val="0"/>
        <w:autoSpaceDE/>
        <w:autoSpaceDN/>
        <w:bidi w:val="0"/>
        <w:adjustRightInd/>
        <w:snapToGrid/>
        <w:spacing w:after="0" w:line="360" w:lineRule="auto"/>
        <w:ind w:right="0" w:firstLine="480" w:firstLineChars="200"/>
        <w:jc w:val="right"/>
        <w:textAlignment w:val="auto"/>
        <w:rPr>
          <w:rFonts w:hint="eastAsia" w:ascii="仿宋_GB2312" w:hAnsi="仿宋_GB2312" w:eastAsia="仿宋_GB2312" w:cs="仿宋_GB2312"/>
          <w:sz w:val="24"/>
        </w:rPr>
      </w:pPr>
    </w:p>
    <w:p w14:paraId="0DEF617A">
      <w:pPr>
        <w:pStyle w:val="2"/>
        <w:keepNext w:val="0"/>
        <w:keepLines w:val="0"/>
        <w:pageBreakBefore w:val="0"/>
        <w:widowControl w:val="0"/>
        <w:tabs>
          <w:tab w:val="left" w:pos="7360"/>
        </w:tabs>
        <w:kinsoku/>
        <w:wordWrap/>
        <w:overflowPunct/>
        <w:topLinePunct w:val="0"/>
        <w:autoSpaceDE/>
        <w:autoSpaceDN/>
        <w:bidi w:val="0"/>
        <w:adjustRightInd/>
        <w:snapToGrid/>
        <w:spacing w:after="0" w:line="360" w:lineRule="auto"/>
        <w:ind w:right="1905" w:rightChars="907" w:firstLine="480" w:firstLineChars="200"/>
        <w:jc w:val="righ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公司名称：</w:t>
      </w:r>
    </w:p>
    <w:p w14:paraId="4522F9AF">
      <w:pPr>
        <w:pStyle w:val="2"/>
        <w:keepNext w:val="0"/>
        <w:keepLines w:val="0"/>
        <w:pageBreakBefore w:val="0"/>
        <w:widowControl w:val="0"/>
        <w:kinsoku/>
        <w:wordWrap w:val="0"/>
        <w:overflowPunct/>
        <w:topLinePunct w:val="0"/>
        <w:autoSpaceDE/>
        <w:autoSpaceDN/>
        <w:bidi w:val="0"/>
        <w:adjustRightInd/>
        <w:snapToGrid/>
        <w:spacing w:after="0" w:line="360" w:lineRule="auto"/>
        <w:ind w:right="0" w:firstLine="480" w:firstLineChars="200"/>
        <w:jc w:val="right"/>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2025</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p w14:paraId="4F548F09">
      <w:pPr>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2596D624">
      <w:pPr>
        <w:rPr>
          <w:rFonts w:hint="eastAsia"/>
        </w:rPr>
      </w:pPr>
    </w:p>
    <w:p w14:paraId="703CB8EC">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center"/>
        <w:textAlignment w:val="auto"/>
        <w:rPr>
          <w:rFonts w:hint="eastAsia" w:ascii="仿宋_GB2312" w:hAnsi="仿宋_GB2312" w:eastAsia="仿宋_GB2312" w:cs="仿宋_GB2312"/>
          <w:sz w:val="24"/>
          <w:szCs w:val="32"/>
          <w:lang w:val="en-US" w:eastAsia="zh-CN"/>
        </w:rPr>
        <w:sectPr>
          <w:footerReference r:id="rId3" w:type="default"/>
          <w:pgSz w:w="11906" w:h="16838"/>
          <w:pgMar w:top="2098" w:right="1474" w:bottom="1984" w:left="1587" w:header="851" w:footer="992" w:gutter="0"/>
          <w:pgNumType w:fmt="decimal" w:start="1"/>
          <w:cols w:space="425" w:num="1"/>
          <w:docGrid w:type="lines" w:linePitch="312" w:charSpace="0"/>
        </w:sectPr>
      </w:pPr>
      <w:bookmarkStart w:id="0" w:name="_GoBack"/>
      <w:r>
        <w:rPr>
          <w:rFonts w:hint="eastAsia" w:ascii="宋体" w:hAnsi="宋体" w:eastAsia="宋体" w:cs="Courier New"/>
          <w:sz w:val="24"/>
          <w:szCs w:val="24"/>
          <w:lang w:val="en-US" w:eastAsia="zh-CN"/>
        </w:rPr>
        <w:t>营业执照及保险许可证</w:t>
      </w:r>
      <w:bookmarkEnd w:id="0"/>
    </w:p>
    <w:p w14:paraId="2970AEC2">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center"/>
        <w:textAlignment w:val="auto"/>
        <w:rPr>
          <w:rFonts w:hint="eastAsia" w:ascii="宋体" w:hAnsi="宋体" w:eastAsia="宋体" w:cs="Courier New"/>
          <w:sz w:val="24"/>
        </w:rPr>
      </w:pPr>
      <w:r>
        <w:rPr>
          <w:rFonts w:hint="eastAsia" w:ascii="宋体" w:hAnsi="宋体" w:eastAsia="宋体" w:cs="Courier New"/>
          <w:sz w:val="24"/>
        </w:rPr>
        <w:t>国家企业信用信息公示系统</w:t>
      </w:r>
      <w:r>
        <w:rPr>
          <w:rFonts w:hint="eastAsia" w:ascii="宋体" w:hAnsi="宋体" w:eastAsia="宋体" w:cs="Courier New"/>
          <w:sz w:val="24"/>
          <w:lang w:val="en-US" w:eastAsia="zh-CN"/>
        </w:rPr>
        <w:t>查询</w:t>
      </w:r>
      <w:r>
        <w:rPr>
          <w:rFonts w:hint="eastAsia" w:ascii="宋体" w:hAnsi="宋体" w:eastAsia="宋体" w:cs="Courier New"/>
          <w:sz w:val="24"/>
        </w:rPr>
        <w:t>截图</w:t>
      </w:r>
    </w:p>
    <w:p w14:paraId="6EA8B647">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center"/>
        <w:textAlignment w:val="auto"/>
        <w:rPr>
          <w:rFonts w:hint="eastAsia" w:ascii="宋体" w:hAnsi="宋体" w:eastAsia="宋体" w:cs="Courier New"/>
          <w:sz w:val="24"/>
        </w:rPr>
        <w:sectPr>
          <w:pgSz w:w="11906" w:h="16838"/>
          <w:pgMar w:top="2098" w:right="1474" w:bottom="1984" w:left="1587" w:header="851" w:footer="992" w:gutter="0"/>
          <w:pgNumType w:fmt="decimal" w:start="1"/>
          <w:cols w:space="425" w:num="1"/>
          <w:docGrid w:type="lines" w:linePitch="312" w:charSpace="0"/>
        </w:sectPr>
      </w:pPr>
    </w:p>
    <w:p w14:paraId="6B526C3D">
      <w:pPr>
        <w:keepNext w:val="0"/>
        <w:keepLines w:val="0"/>
        <w:pageBreakBefore w:val="0"/>
        <w:widowControl w:val="0"/>
        <w:kinsoku/>
        <w:wordWrap/>
        <w:overflowPunct/>
        <w:topLinePunct w:val="0"/>
        <w:autoSpaceDE/>
        <w:autoSpaceDN/>
        <w:bidi w:val="0"/>
        <w:adjustRightInd/>
        <w:snapToGrid/>
        <w:spacing w:line="560" w:lineRule="exact"/>
        <w:ind w:right="0" w:firstLine="480" w:firstLineChars="200"/>
        <w:jc w:val="center"/>
        <w:textAlignment w:val="auto"/>
        <w:rPr>
          <w:rFonts w:hint="eastAsia" w:ascii="宋体" w:hAnsi="宋体" w:eastAsia="宋体" w:cs="Courier New"/>
          <w:sz w:val="24"/>
          <w:lang w:val="en-US" w:eastAsia="zh-CN"/>
        </w:rPr>
      </w:pPr>
      <w:r>
        <w:rPr>
          <w:rFonts w:hint="eastAsia" w:ascii="宋体" w:hAnsi="宋体" w:eastAsia="宋体" w:cs="Courier New"/>
          <w:sz w:val="24"/>
        </w:rPr>
        <w:t>综合偿付能力充足率证明文件</w:t>
      </w:r>
    </w:p>
    <w:sectPr>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4BBB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125B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5125B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5E4F3"/>
    <w:multiLevelType w:val="singleLevel"/>
    <w:tmpl w:val="A0B5E4F3"/>
    <w:lvl w:ilvl="0" w:tentative="0">
      <w:start w:val="3"/>
      <w:numFmt w:val="chineseCounting"/>
      <w:suff w:val="nothing"/>
      <w:lvlText w:val="（%1）"/>
      <w:lvlJc w:val="left"/>
      <w:rPr>
        <w:rFonts w:hint="eastAsia"/>
      </w:rPr>
    </w:lvl>
  </w:abstractNum>
  <w:abstractNum w:abstractNumId="1">
    <w:nsid w:val="EC3B2575"/>
    <w:multiLevelType w:val="singleLevel"/>
    <w:tmpl w:val="EC3B2575"/>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85325"/>
    <w:rsid w:val="03D62740"/>
    <w:rsid w:val="073E1F74"/>
    <w:rsid w:val="0BAD4690"/>
    <w:rsid w:val="0C185325"/>
    <w:rsid w:val="1763654B"/>
    <w:rsid w:val="19655697"/>
    <w:rsid w:val="19B66BBB"/>
    <w:rsid w:val="1D0848B4"/>
    <w:rsid w:val="404612A4"/>
    <w:rsid w:val="58A2159D"/>
    <w:rsid w:val="5AD81E88"/>
    <w:rsid w:val="74046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0"/>
    <w:pPr>
      <w:ind w:firstLine="420" w:firstLineChars="200"/>
    </w:pPr>
    <w:rPr>
      <w:rFonts w:ascii="Calibri" w:hAnsi="Calibri" w:eastAsia="宋体" w:cs="Times New Roman"/>
      <w:szCs w:val="22"/>
    </w:rPr>
  </w:style>
  <w:style w:type="paragraph" w:customStyle="1" w:styleId="9">
    <w:name w:val="列出段落1"/>
    <w:basedOn w:val="1"/>
    <w:qFormat/>
    <w:uiPriority w:val="0"/>
    <w:pPr>
      <w:ind w:firstLine="420" w:firstLineChars="200"/>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498</Words>
  <Characters>518</Characters>
  <Lines>0</Lines>
  <Paragraphs>0</Paragraphs>
  <TotalTime>0</TotalTime>
  <ScaleCrop>false</ScaleCrop>
  <LinksUpToDate>false</LinksUpToDate>
  <CharactersWithSpaces>537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2025-10-30T04:13:00Z</dcterms:created>
  <dc:creator>WPS_1655080474</dc:creator>
  <cp:lastModifiedBy>殷豪</cp:lastModifiedBy>
  <dcterms:modified xsi:type="dcterms:W3CDTF">2025-10-31T09:19:27Z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F4ED92FDCF944B1CBB17B6C74B06DF2C_11</vt:lpwstr>
  </property>
  <property fmtid="{D5CDD505-2E9C-101B-9397-08002B2CF9AE}" pid="4" name="KSOTemplateDocerSaveRecord">
    <vt:lpwstr>eyJoZGlkIjoiMDkyMGU2MjA5NjQ1ZGVjM2QxODNjZDU5MzY3ZTBmY2MiLCJ1c2VySWQiOiIzODU5MDgzMjUifQ==</vt:lpwstr>
  </property>
</Properties>
</file>