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94F29">
      <w:pPr>
        <w:pStyle w:val="5"/>
        <w:keepNext w:val="0"/>
        <w:keepLines w:val="0"/>
        <w:pageBreakBefore w:val="0"/>
        <w:widowControl w:val="0"/>
        <w:kinsoku/>
        <w:wordWrap/>
        <w:overflowPunct/>
        <w:topLinePunct w:val="0"/>
        <w:autoSpaceDE/>
        <w:autoSpaceDN/>
        <w:bidi w:val="0"/>
        <w:adjustRightInd/>
        <w:snapToGrid/>
        <w:spacing w:line="560" w:lineRule="exact"/>
        <w:ind w:right="0" w:firstLine="480" w:firstLineChars="200"/>
        <w:textAlignment w:val="auto"/>
        <w:outlineLvl w:val="0"/>
        <w:rPr>
          <w:rFonts w:hint="eastAsia" w:ascii="方正小标宋简体" w:hAnsi="方正小标宋简体" w:eastAsia="方正小标宋简体" w:cs="方正小标宋简体"/>
          <w:b w:val="0"/>
          <w:bCs w:val="0"/>
          <w:sz w:val="24"/>
          <w:szCs w:val="24"/>
          <w:lang w:eastAsia="zh-CN"/>
        </w:rPr>
      </w:pPr>
      <w:r>
        <w:rPr>
          <w:rFonts w:hint="eastAsia" w:ascii="方正小标宋简体" w:hAnsi="方正小标宋简体" w:eastAsia="方正小标宋简体" w:cs="方正小标宋简体"/>
          <w:b w:val="0"/>
          <w:bCs w:val="0"/>
          <w:sz w:val="24"/>
          <w:szCs w:val="24"/>
        </w:rPr>
        <w:t>附件</w:t>
      </w:r>
      <w:r>
        <w:rPr>
          <w:rFonts w:hint="eastAsia" w:ascii="方正小标宋简体" w:hAnsi="方正小标宋简体" w:eastAsia="方正小标宋简体" w:cs="方正小标宋简体"/>
          <w:b w:val="0"/>
          <w:bCs w:val="0"/>
          <w:sz w:val="24"/>
          <w:szCs w:val="24"/>
          <w:lang w:val="en-US" w:eastAsia="zh-CN"/>
        </w:rPr>
        <w:t>2</w:t>
      </w:r>
      <w:r>
        <w:rPr>
          <w:rFonts w:hint="eastAsia" w:ascii="方正小标宋简体" w:hAnsi="方正小标宋简体" w:eastAsia="方正小标宋简体" w:cs="方正小标宋简体"/>
          <w:b w:val="0"/>
          <w:bCs w:val="0"/>
          <w:sz w:val="24"/>
          <w:szCs w:val="24"/>
        </w:rPr>
        <w:t>：深圳市宝安排水有限公司</w:t>
      </w:r>
      <w:r>
        <w:rPr>
          <w:rFonts w:hint="eastAsia" w:ascii="方正小标宋简体" w:hAnsi="方正小标宋简体" w:eastAsia="方正小标宋简体" w:cs="方正小标宋简体"/>
          <w:b w:val="0"/>
          <w:bCs w:val="0"/>
          <w:sz w:val="24"/>
          <w:szCs w:val="24"/>
          <w:lang w:eastAsia="zh-CN"/>
        </w:rPr>
        <w:t>202</w:t>
      </w:r>
      <w:r>
        <w:rPr>
          <w:rFonts w:hint="eastAsia" w:ascii="方正小标宋简体" w:hAnsi="方正小标宋简体" w:eastAsia="方正小标宋简体" w:cs="方正小标宋简体"/>
          <w:b w:val="0"/>
          <w:bCs w:val="0"/>
          <w:sz w:val="24"/>
          <w:szCs w:val="24"/>
          <w:lang w:val="en-US" w:eastAsia="zh-CN"/>
        </w:rPr>
        <w:t>5</w:t>
      </w:r>
      <w:r>
        <w:rPr>
          <w:rFonts w:hint="eastAsia" w:ascii="方正小标宋简体" w:hAnsi="方正小标宋简体" w:eastAsia="方正小标宋简体" w:cs="方正小标宋简体"/>
          <w:b w:val="0"/>
          <w:bCs w:val="0"/>
          <w:sz w:val="24"/>
          <w:szCs w:val="24"/>
          <w:lang w:eastAsia="zh-CN"/>
        </w:rPr>
        <w:t>-202</w:t>
      </w:r>
      <w:r>
        <w:rPr>
          <w:rFonts w:hint="eastAsia" w:ascii="方正小标宋简体" w:hAnsi="方正小标宋简体" w:eastAsia="方正小标宋简体" w:cs="方正小标宋简体"/>
          <w:b w:val="0"/>
          <w:bCs w:val="0"/>
          <w:sz w:val="24"/>
          <w:szCs w:val="24"/>
          <w:lang w:val="en-US" w:eastAsia="zh-CN"/>
        </w:rPr>
        <w:t>6</w:t>
      </w:r>
      <w:r>
        <w:rPr>
          <w:rFonts w:hint="eastAsia" w:ascii="方正小标宋简体" w:hAnsi="方正小标宋简体" w:eastAsia="方正小标宋简体" w:cs="方正小标宋简体"/>
          <w:b w:val="0"/>
          <w:bCs w:val="0"/>
          <w:sz w:val="24"/>
          <w:szCs w:val="24"/>
        </w:rPr>
        <w:t>年度团体意外险项目</w:t>
      </w:r>
      <w:r>
        <w:rPr>
          <w:rFonts w:hint="eastAsia" w:ascii="方正小标宋简体" w:hAnsi="方正小标宋简体" w:eastAsia="方正小标宋简体" w:cs="方正小标宋简体"/>
          <w:b w:val="0"/>
          <w:bCs w:val="0"/>
          <w:sz w:val="24"/>
          <w:szCs w:val="24"/>
          <w:lang w:val="en-US" w:eastAsia="zh-CN"/>
        </w:rPr>
        <w:t>保险方案</w:t>
      </w:r>
    </w:p>
    <w:tbl>
      <w:tblPr>
        <w:tblStyle w:val="3"/>
        <w:tblpPr w:leftFromText="180" w:rightFromText="180" w:vertAnchor="text" w:horzAnchor="page" w:tblpXSpec="center" w:tblpY="292"/>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4"/>
        <w:gridCol w:w="7148"/>
      </w:tblGrid>
      <w:tr w14:paraId="4234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00" w:type="pct"/>
            <w:gridSpan w:val="2"/>
            <w:noWrap w:val="0"/>
            <w:vAlign w:val="center"/>
          </w:tcPr>
          <w:p w14:paraId="3730B40A">
            <w:pPr>
              <w:pStyle w:val="5"/>
              <w:spacing w:line="360" w:lineRule="exact"/>
              <w:ind w:firstLine="0" w:firstLineChars="0"/>
              <w:jc w:val="center"/>
              <w:rPr>
                <w:rFonts w:hint="eastAsia" w:ascii="仿宋_GB2312" w:hAnsi="仿宋_GB2312" w:eastAsia="仿宋_GB2312" w:cs="仿宋_GB2312"/>
                <w:sz w:val="20"/>
                <w:szCs w:val="20"/>
                <w:lang w:val="en-US"/>
              </w:rPr>
            </w:pPr>
            <w:r>
              <w:rPr>
                <w:rFonts w:hint="eastAsia" w:ascii="仿宋_GB2312" w:hAnsi="仿宋_GB2312" w:eastAsia="仿宋_GB2312" w:cs="仿宋_GB2312"/>
                <w:b/>
                <w:color w:val="104B8D"/>
                <w:sz w:val="20"/>
                <w:szCs w:val="30"/>
                <w:u w:val="single"/>
                <w:lang w:val="en-US" w:eastAsia="zh-CN"/>
              </w:rPr>
              <w:t>团体意外伤害保险</w:t>
            </w:r>
          </w:p>
        </w:tc>
      </w:tr>
      <w:tr w14:paraId="47F1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74" w:type="dxa"/>
            <w:noWrap w:val="0"/>
            <w:vAlign w:val="top"/>
          </w:tcPr>
          <w:p w14:paraId="040D04E7">
            <w:pPr>
              <w:pStyle w:val="5"/>
              <w:spacing w:line="360" w:lineRule="exact"/>
              <w:ind w:firstLine="0" w:firstLineChars="0"/>
              <w:jc w:val="center"/>
              <w:rPr>
                <w:rFonts w:hint="eastAsia" w:ascii="仿宋_GB2312" w:hAnsi="仿宋_GB2312" w:eastAsia="仿宋_GB2312" w:cs="仿宋_GB2312"/>
                <w:b/>
                <w:sz w:val="20"/>
                <w:szCs w:val="20"/>
                <w:lang w:val="en-US" w:eastAsia="zh-CN"/>
              </w:rPr>
            </w:pPr>
            <w:r>
              <w:rPr>
                <w:rFonts w:hint="eastAsia" w:ascii="仿宋_GB2312" w:hAnsi="仿宋_GB2312" w:eastAsia="仿宋_GB2312" w:cs="仿宋_GB2312"/>
                <w:b/>
                <w:sz w:val="20"/>
                <w:szCs w:val="20"/>
                <w:lang w:val="en-US" w:eastAsia="zh-CN"/>
              </w:rPr>
              <w:t>条目</w:t>
            </w:r>
          </w:p>
        </w:tc>
        <w:tc>
          <w:tcPr>
            <w:tcW w:w="7148" w:type="dxa"/>
            <w:noWrap w:val="0"/>
            <w:vAlign w:val="top"/>
          </w:tcPr>
          <w:p w14:paraId="576519FF">
            <w:pPr>
              <w:pStyle w:val="5"/>
              <w:spacing w:line="360" w:lineRule="exact"/>
              <w:ind w:firstLine="0" w:firstLineChars="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b/>
                <w:sz w:val="20"/>
                <w:szCs w:val="20"/>
                <w:lang w:val="en-US" w:eastAsia="zh-CN"/>
              </w:rPr>
              <w:t>内容</w:t>
            </w:r>
          </w:p>
        </w:tc>
      </w:tr>
      <w:tr w14:paraId="610B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374" w:type="dxa"/>
            <w:noWrap w:val="0"/>
            <w:vAlign w:val="top"/>
          </w:tcPr>
          <w:p w14:paraId="510C143C">
            <w:pPr>
              <w:pStyle w:val="5"/>
              <w:spacing w:line="360" w:lineRule="exact"/>
              <w:ind w:firstLine="0" w:firstLineChars="0"/>
              <w:jc w:val="center"/>
              <w:rPr>
                <w:rFonts w:hint="eastAsia" w:ascii="仿宋_GB2312" w:hAnsi="仿宋_GB2312" w:eastAsia="仿宋_GB2312" w:cs="仿宋_GB2312"/>
                <w:b/>
                <w:sz w:val="20"/>
                <w:szCs w:val="20"/>
                <w:lang w:val="en-US" w:eastAsia="zh-CN"/>
              </w:rPr>
            </w:pPr>
            <w:r>
              <w:rPr>
                <w:rFonts w:hint="eastAsia" w:ascii="仿宋_GB2312" w:hAnsi="仿宋_GB2312" w:eastAsia="仿宋_GB2312" w:cs="仿宋_GB2312"/>
                <w:b/>
                <w:sz w:val="20"/>
                <w:szCs w:val="20"/>
                <w:lang w:val="en-US" w:eastAsia="zh-CN"/>
              </w:rPr>
              <w:t>参保对象</w:t>
            </w:r>
          </w:p>
          <w:p w14:paraId="57F385A4">
            <w:pPr>
              <w:pStyle w:val="5"/>
              <w:spacing w:line="360" w:lineRule="exact"/>
              <w:ind w:firstLine="0" w:firstLineChars="0"/>
              <w:jc w:val="center"/>
              <w:rPr>
                <w:rFonts w:hint="eastAsia" w:ascii="仿宋_GB2312" w:hAnsi="仿宋_GB2312" w:eastAsia="仿宋_GB2312" w:cs="仿宋_GB2312"/>
                <w:b/>
                <w:sz w:val="20"/>
                <w:szCs w:val="20"/>
                <w:lang w:val="en-US" w:eastAsia="zh-CN"/>
              </w:rPr>
            </w:pPr>
          </w:p>
        </w:tc>
        <w:tc>
          <w:tcPr>
            <w:tcW w:w="7148" w:type="dxa"/>
            <w:noWrap w:val="0"/>
            <w:vAlign w:val="top"/>
          </w:tcPr>
          <w:p w14:paraId="55B55648">
            <w:pPr>
              <w:widowControl w:val="0"/>
              <w:numPr>
                <w:ilvl w:val="0"/>
                <w:numId w:val="0"/>
              </w:numPr>
              <w:spacing w:line="360" w:lineRule="exact"/>
              <w:ind w:left="0" w:leftChars="0" w:firstLine="400" w:firstLineChars="200"/>
              <w:jc w:val="both"/>
              <w:rPr>
                <w:rFonts w:hint="eastAsia" w:ascii="仿宋_GB2312" w:hAnsi="仿宋_GB2312" w:eastAsia="仿宋_GB2312" w:cs="仿宋_GB2312"/>
                <w:b/>
                <w:bCs/>
                <w:kern w:val="0"/>
                <w:sz w:val="21"/>
                <w:szCs w:val="21"/>
                <w:lang w:val="en-US" w:eastAsia="zh-CN" w:bidi="ar-SA"/>
              </w:rPr>
            </w:pPr>
            <w:r>
              <w:rPr>
                <w:rFonts w:hint="eastAsia" w:ascii="仿宋_GB2312" w:hAnsi="仿宋_GB2312" w:eastAsia="仿宋_GB2312" w:cs="仿宋_GB2312"/>
                <w:sz w:val="20"/>
                <w:szCs w:val="20"/>
              </w:rPr>
              <w:t>公司一线作业人员</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lang w:val="en-US" w:eastAsia="zh-CN"/>
              </w:rPr>
              <w:t>18-65岁）</w:t>
            </w:r>
            <w:r>
              <w:rPr>
                <w:rFonts w:hint="eastAsia" w:ascii="仿宋_GB2312" w:hAnsi="仿宋_GB2312" w:eastAsia="仿宋_GB2312" w:cs="仿宋_GB2312"/>
                <w:sz w:val="20"/>
                <w:szCs w:val="20"/>
              </w:rPr>
              <w:t>，包括但不限于以下工种：管网工（巡查、清疏、维修、司机）、河道工（巡查、保洁、绿化、司机）、海堤工（巡查、保洁、司机）、水闸工、人工湿地养护工、水库养护工、泵站运行工、</w:t>
            </w:r>
            <w:bookmarkStart w:id="0" w:name="_GoBack"/>
            <w:bookmarkEnd w:id="0"/>
            <w:r>
              <w:rPr>
                <w:rFonts w:hint="eastAsia" w:ascii="仿宋_GB2312" w:hAnsi="仿宋_GB2312" w:eastAsia="仿宋_GB2312" w:cs="仿宋_GB2312"/>
                <w:sz w:val="20"/>
                <w:szCs w:val="20"/>
              </w:rPr>
              <w:t>泵站维修员、污水处理运行工、污水设备维修员、管网检测员、厨工、厨师、保安员、资料员、海域保洁人员、海船驾驶员等岗位。参保人数约</w:t>
            </w:r>
            <w:r>
              <w:rPr>
                <w:rFonts w:hint="eastAsia" w:ascii="仿宋_GB2312" w:hAnsi="仿宋_GB2312" w:eastAsia="仿宋_GB2312" w:cs="仿宋_GB2312"/>
                <w:sz w:val="20"/>
                <w:szCs w:val="20"/>
                <w:lang w:val="en-US" w:eastAsia="zh-CN"/>
              </w:rPr>
              <w:t>1166</w:t>
            </w:r>
            <w:r>
              <w:rPr>
                <w:rFonts w:hint="eastAsia" w:ascii="仿宋_GB2312" w:hAnsi="仿宋_GB2312" w:eastAsia="仿宋_GB2312" w:cs="仿宋_GB2312"/>
                <w:sz w:val="20"/>
                <w:szCs w:val="20"/>
              </w:rPr>
              <w:t>人</w:t>
            </w:r>
            <w:r>
              <w:rPr>
                <w:rFonts w:hint="eastAsia" w:ascii="仿宋_GB2312" w:hAnsi="仿宋_GB2312" w:eastAsia="仿宋_GB2312" w:cs="仿宋_GB2312"/>
                <w:b/>
                <w:bCs/>
                <w:color w:val="auto"/>
                <w:sz w:val="20"/>
                <w:szCs w:val="20"/>
                <w:lang w:val="en-US" w:eastAsia="zh-CN"/>
              </w:rPr>
              <w:t>（</w:t>
            </w:r>
            <w:r>
              <w:rPr>
                <w:rFonts w:hint="eastAsia" w:ascii="仿宋_GB2312" w:hAnsi="仿宋_GB2312" w:eastAsia="仿宋_GB2312" w:cs="仿宋_GB2312"/>
                <w:b/>
                <w:bCs/>
                <w:color w:val="auto"/>
                <w:sz w:val="20"/>
                <w:szCs w:val="20"/>
                <w:lang w:val="en-US" w:eastAsia="zh-Hans"/>
              </w:rPr>
              <w:t>具体人数以实际出单为准</w:t>
            </w:r>
            <w:r>
              <w:rPr>
                <w:rFonts w:hint="eastAsia" w:ascii="仿宋_GB2312" w:hAnsi="仿宋_GB2312" w:eastAsia="仿宋_GB2312" w:cs="仿宋_GB2312"/>
                <w:b/>
                <w:bCs/>
                <w:color w:val="auto"/>
                <w:sz w:val="20"/>
                <w:szCs w:val="20"/>
                <w:lang w:val="en-US" w:eastAsia="zh-CN"/>
              </w:rPr>
              <w:t>）</w:t>
            </w:r>
          </w:p>
        </w:tc>
      </w:tr>
      <w:tr w14:paraId="4EA1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4" w:type="dxa"/>
            <w:noWrap w:val="0"/>
            <w:vAlign w:val="top"/>
          </w:tcPr>
          <w:p w14:paraId="42508E40">
            <w:pPr>
              <w:pStyle w:val="5"/>
              <w:spacing w:line="360" w:lineRule="exact"/>
              <w:ind w:firstLine="0" w:firstLineChars="0"/>
              <w:rPr>
                <w:rFonts w:hint="eastAsia" w:ascii="仿宋_GB2312" w:hAnsi="仿宋_GB2312" w:eastAsia="仿宋_GB2312" w:cs="仿宋_GB2312"/>
                <w:b/>
                <w:sz w:val="20"/>
                <w:szCs w:val="20"/>
                <w:lang w:eastAsia="zh-CN"/>
              </w:rPr>
            </w:pPr>
            <w:r>
              <w:rPr>
                <w:rFonts w:hint="eastAsia" w:ascii="仿宋_GB2312" w:hAnsi="仿宋_GB2312" w:eastAsia="仿宋_GB2312" w:cs="仿宋_GB2312"/>
                <w:b/>
                <w:sz w:val="20"/>
                <w:szCs w:val="20"/>
              </w:rPr>
              <w:t>保障项目及保障责任</w:t>
            </w:r>
          </w:p>
        </w:tc>
        <w:tc>
          <w:tcPr>
            <w:tcW w:w="7148" w:type="dxa"/>
            <w:noWrap w:val="0"/>
            <w:vAlign w:val="top"/>
          </w:tcPr>
          <w:p w14:paraId="6C4638D2">
            <w:pPr>
              <w:widowControl w:val="0"/>
              <w:numPr>
                <w:ilvl w:val="0"/>
                <w:numId w:val="0"/>
              </w:numPr>
              <w:spacing w:line="360" w:lineRule="exact"/>
              <w:ind w:firstLine="402" w:firstLineChars="200"/>
              <w:jc w:val="both"/>
              <w:rPr>
                <w:rFonts w:hint="eastAsia" w:ascii="仿宋_GB2312" w:hAnsi="仿宋_GB2312" w:eastAsia="仿宋_GB2312" w:cs="仿宋_GB2312"/>
                <w:sz w:val="20"/>
                <w:szCs w:val="20"/>
              </w:rPr>
            </w:pPr>
            <w:r>
              <w:rPr>
                <w:rFonts w:hint="eastAsia" w:ascii="仿宋_GB2312" w:hAnsi="仿宋_GB2312" w:eastAsia="仿宋_GB2312" w:cs="仿宋_GB2312"/>
                <w:b/>
                <w:bCs/>
                <w:sz w:val="20"/>
                <w:szCs w:val="20"/>
              </w:rPr>
              <w:t>1.意外伤害保险（身故、伤残）</w:t>
            </w:r>
          </w:p>
          <w:p w14:paraId="3B041325">
            <w:pPr>
              <w:widowControl w:val="0"/>
              <w:numPr>
                <w:ilvl w:val="0"/>
                <w:numId w:val="0"/>
              </w:numPr>
              <w:spacing w:line="360" w:lineRule="exact"/>
              <w:ind w:firstLine="400" w:firstLineChars="20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（1）意外身故保险责任</w:t>
            </w:r>
          </w:p>
          <w:p w14:paraId="75DF7189">
            <w:pPr>
              <w:widowControl w:val="0"/>
              <w:numPr>
                <w:ilvl w:val="0"/>
                <w:numId w:val="0"/>
              </w:numPr>
              <w:spacing w:line="360" w:lineRule="exact"/>
              <w:ind w:firstLine="400" w:firstLineChars="20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若被保险人遭受意外伤害事故，并因本次意外伤害直接导致被保险人在该意外伤害事故发生之日起180日内身故，保险人按该被保险人对应的保险金额给付意外身故保险金，保险人对该被保险人的保险责任终止。</w:t>
            </w:r>
          </w:p>
          <w:p w14:paraId="715BE740">
            <w:pPr>
              <w:widowControl w:val="0"/>
              <w:numPr>
                <w:ilvl w:val="0"/>
                <w:numId w:val="0"/>
              </w:numPr>
              <w:spacing w:line="360" w:lineRule="exact"/>
              <w:ind w:firstLine="400" w:firstLineChars="20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（2）意外伤残保险责任</w:t>
            </w:r>
          </w:p>
          <w:p w14:paraId="349414F4">
            <w:pPr>
              <w:widowControl w:val="0"/>
              <w:numPr>
                <w:ilvl w:val="0"/>
                <w:numId w:val="0"/>
              </w:numPr>
              <w:spacing w:line="360" w:lineRule="exact"/>
              <w:ind w:firstLine="400" w:firstLineChars="20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若被保险人遭受意外伤害事故，并因本次意外伤害直接导致被保险人在该意外伤害事故发生之日起180日内发生《人身保险伤残评定标准（行业标准）》（中保协发〔2013〕88号）中所列的伤残条目，保险人依照该标准规定的评定原则进行评定，并按评定结果所对应该标准规定的给付比例乘以该被保险人对应的保险金额给付残疾保险金。如自意外伤害事故发生之日起180日治疗仍未结束的，则按事故发生之日起第180日的身体情况进行伤残鉴定，并据此给付意外残疾保险金。</w:t>
            </w:r>
          </w:p>
          <w:p w14:paraId="4DB00EC3">
            <w:pPr>
              <w:widowControl w:val="0"/>
              <w:numPr>
                <w:ilvl w:val="0"/>
                <w:numId w:val="0"/>
              </w:numPr>
              <w:spacing w:line="360" w:lineRule="exact"/>
              <w:ind w:firstLine="400" w:firstLineChars="20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当任何一项或数项保险金给付额累计达到该被保险人对应的保险金额时，保险人对该被保险人的全部保险责任终止。</w:t>
            </w:r>
          </w:p>
          <w:p w14:paraId="5262603A">
            <w:pPr>
              <w:widowControl w:val="0"/>
              <w:numPr>
                <w:ilvl w:val="0"/>
                <w:numId w:val="0"/>
              </w:numPr>
              <w:spacing w:line="360" w:lineRule="exact"/>
              <w:ind w:firstLine="402" w:firstLineChars="200"/>
              <w:jc w:val="both"/>
              <w:rPr>
                <w:rFonts w:hint="eastAsia" w:ascii="仿宋_GB2312" w:hAnsi="仿宋_GB2312" w:eastAsia="仿宋_GB2312" w:cs="仿宋_GB2312"/>
                <w:sz w:val="20"/>
                <w:szCs w:val="20"/>
              </w:rPr>
            </w:pPr>
            <w:r>
              <w:rPr>
                <w:rFonts w:hint="eastAsia" w:ascii="仿宋_GB2312" w:hAnsi="仿宋_GB2312" w:eastAsia="仿宋_GB2312" w:cs="仿宋_GB2312"/>
                <w:b/>
                <w:bCs/>
                <w:sz w:val="20"/>
                <w:szCs w:val="20"/>
              </w:rPr>
              <w:t>2.意外伤害医疗保险</w:t>
            </w:r>
          </w:p>
          <w:p w14:paraId="038641D3">
            <w:pPr>
              <w:widowControl w:val="0"/>
              <w:numPr>
                <w:ilvl w:val="0"/>
                <w:numId w:val="0"/>
              </w:numPr>
              <w:spacing w:line="360" w:lineRule="exact"/>
              <w:ind w:firstLine="400" w:firstLineChars="20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若被保险人遭受意外伤害在卫生行政部门认定的二级以上医院接受治疗，保险人对被保险人因该次意外伤害的治疗而发生的符合本附加险合同保单签发地政府基本医疗保险管理规定范围内合理且必要的医疗费用，按投保时双方约定的免赔额及给付比例予以补偿。</w:t>
            </w:r>
          </w:p>
          <w:p w14:paraId="2B6ABEFE">
            <w:pPr>
              <w:widowControl w:val="0"/>
              <w:numPr>
                <w:ilvl w:val="0"/>
                <w:numId w:val="0"/>
              </w:numPr>
              <w:spacing w:line="360" w:lineRule="exact"/>
              <w:ind w:firstLine="400" w:firstLineChars="20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被保险人在保险期间内因意外伤害而住院治疗，至保险期间届满治疗仍未结束的，保险人继续承担本条前述所列的保险责任至住院结束，但最长不超过意外伤害发生之日起第180天。</w:t>
            </w:r>
          </w:p>
          <w:p w14:paraId="5C03A874">
            <w:pPr>
              <w:widowControl w:val="0"/>
              <w:numPr>
                <w:ilvl w:val="0"/>
                <w:numId w:val="0"/>
              </w:numPr>
              <w:spacing w:line="360" w:lineRule="exact"/>
              <w:ind w:firstLine="400" w:firstLineChars="20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被保险人在保险期间内因意外伤害而进行门急诊治疗，至保险期间届满治疗仍未结束的，保险人继续承担本条前述所列的保险责任，但最长不超过意外伤害发生之日起第30天。</w:t>
            </w:r>
          </w:p>
          <w:p w14:paraId="4201CFB6">
            <w:pPr>
              <w:widowControl w:val="0"/>
              <w:numPr>
                <w:ilvl w:val="0"/>
                <w:numId w:val="0"/>
              </w:numPr>
              <w:spacing w:line="360" w:lineRule="exact"/>
              <w:ind w:firstLine="400" w:firstLineChars="20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在任何情况下，本公司对同一被保险人一次或多次累计给付金额达到该被保险人对应的保险金额时，本公司对该被保险人的保险责任即时终止。</w:t>
            </w:r>
          </w:p>
          <w:p w14:paraId="557FE691">
            <w:pPr>
              <w:widowControl w:val="0"/>
              <w:numPr>
                <w:ilvl w:val="0"/>
                <w:numId w:val="0"/>
              </w:numPr>
              <w:spacing w:line="360" w:lineRule="exact"/>
              <w:ind w:firstLine="400" w:firstLineChars="20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若被保险人从任何途径取得医疗费用补偿或赔偿，保险人给付保险金以扣除上述所得医疗费用补偿或赔偿后的剩余医疗费用中符合保单签发地政府基本医疗保险管理规定的费用金额为限。</w:t>
            </w:r>
          </w:p>
          <w:p w14:paraId="020D0ADD">
            <w:pPr>
              <w:widowControl w:val="0"/>
              <w:numPr>
                <w:ilvl w:val="0"/>
                <w:numId w:val="0"/>
              </w:numPr>
              <w:spacing w:line="360" w:lineRule="exact"/>
              <w:ind w:firstLine="402" w:firstLineChars="200"/>
              <w:jc w:val="both"/>
              <w:rPr>
                <w:rFonts w:hint="eastAsia" w:ascii="仿宋_GB2312" w:hAnsi="仿宋_GB2312" w:eastAsia="仿宋_GB2312" w:cs="仿宋_GB2312"/>
                <w:sz w:val="20"/>
                <w:szCs w:val="20"/>
              </w:rPr>
            </w:pPr>
            <w:r>
              <w:rPr>
                <w:rFonts w:hint="eastAsia" w:ascii="仿宋_GB2312" w:hAnsi="仿宋_GB2312" w:eastAsia="仿宋_GB2312" w:cs="仿宋_GB2312"/>
                <w:b/>
                <w:bCs/>
                <w:sz w:val="20"/>
                <w:szCs w:val="20"/>
              </w:rPr>
              <w:t>3.附加意外伤害住院</w:t>
            </w:r>
            <w:r>
              <w:rPr>
                <w:rFonts w:hint="eastAsia" w:ascii="仿宋_GB2312" w:hAnsi="仿宋_GB2312" w:eastAsia="仿宋_GB2312" w:cs="仿宋_GB2312"/>
                <w:b/>
                <w:bCs/>
                <w:sz w:val="20"/>
                <w:szCs w:val="20"/>
                <w:lang w:eastAsia="zh-CN"/>
              </w:rPr>
              <w:t>津贴</w:t>
            </w:r>
            <w:r>
              <w:rPr>
                <w:rFonts w:hint="eastAsia" w:ascii="仿宋_GB2312" w:hAnsi="仿宋_GB2312" w:eastAsia="仿宋_GB2312" w:cs="仿宋_GB2312"/>
                <w:b/>
                <w:bCs/>
                <w:sz w:val="20"/>
                <w:szCs w:val="20"/>
              </w:rPr>
              <w:t>团体医疗保险</w:t>
            </w:r>
          </w:p>
          <w:p w14:paraId="69A3AC45">
            <w:pPr>
              <w:widowControl w:val="0"/>
              <w:numPr>
                <w:ilvl w:val="0"/>
                <w:numId w:val="0"/>
              </w:numPr>
              <w:spacing w:line="360" w:lineRule="exact"/>
              <w:ind w:firstLine="400" w:firstLineChars="20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若被保险人遭受意外伤害，并自该次意外伤害发生之日起180日内因该意外伤害在卫生行政部门认定的二级以上医院住院治疗，本公司按其实际住院天数乘以投保时双方约定的日住院</w:t>
            </w:r>
            <w:r>
              <w:rPr>
                <w:rFonts w:hint="eastAsia" w:ascii="仿宋_GB2312" w:hAnsi="仿宋_GB2312" w:eastAsia="仿宋_GB2312" w:cs="仿宋_GB2312"/>
                <w:sz w:val="20"/>
                <w:szCs w:val="20"/>
                <w:lang w:eastAsia="zh-CN"/>
              </w:rPr>
              <w:t>津贴</w:t>
            </w:r>
            <w:r>
              <w:rPr>
                <w:rFonts w:hint="eastAsia" w:ascii="仿宋_GB2312" w:hAnsi="仿宋_GB2312" w:eastAsia="仿宋_GB2312" w:cs="仿宋_GB2312"/>
                <w:sz w:val="20"/>
                <w:szCs w:val="20"/>
              </w:rPr>
              <w:t>金额给付意外伤害住院</w:t>
            </w:r>
            <w:r>
              <w:rPr>
                <w:rFonts w:hint="eastAsia" w:ascii="仿宋_GB2312" w:hAnsi="仿宋_GB2312" w:eastAsia="仿宋_GB2312" w:cs="仿宋_GB2312"/>
                <w:sz w:val="20"/>
                <w:szCs w:val="20"/>
                <w:lang w:eastAsia="zh-CN"/>
              </w:rPr>
              <w:t>津贴</w:t>
            </w:r>
            <w:r>
              <w:rPr>
                <w:rFonts w:hint="eastAsia" w:ascii="仿宋_GB2312" w:hAnsi="仿宋_GB2312" w:eastAsia="仿宋_GB2312" w:cs="仿宋_GB2312"/>
                <w:sz w:val="20"/>
                <w:szCs w:val="20"/>
              </w:rPr>
              <w:t>保险金。</w:t>
            </w:r>
          </w:p>
          <w:p w14:paraId="29771D23">
            <w:pPr>
              <w:widowControl w:val="0"/>
              <w:numPr>
                <w:ilvl w:val="0"/>
                <w:numId w:val="0"/>
              </w:numPr>
              <w:spacing w:line="360" w:lineRule="exact"/>
              <w:ind w:firstLine="400" w:firstLineChars="20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被保险人在保险期间内因意外伤害住院治疗，至保险期间届满治疗仍未结束的，保险人继续承担本条前述所列的保险责任至住院结束，但最长不超过意外伤害发生之日起第180日。</w:t>
            </w:r>
          </w:p>
          <w:p w14:paraId="3798659B">
            <w:pPr>
              <w:widowControl w:val="0"/>
              <w:numPr>
                <w:ilvl w:val="0"/>
                <w:numId w:val="0"/>
              </w:numPr>
              <w:spacing w:line="360" w:lineRule="exact"/>
              <w:ind w:firstLine="400" w:firstLineChars="20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在任何情况下，保险人对同一被保险人</w:t>
            </w:r>
            <w:r>
              <w:rPr>
                <w:rFonts w:hint="eastAsia" w:ascii="仿宋_GB2312" w:hAnsi="仿宋_GB2312" w:eastAsia="仿宋_GB2312" w:cs="仿宋_GB2312"/>
                <w:sz w:val="20"/>
                <w:szCs w:val="20"/>
                <w:lang w:eastAsia="zh-CN"/>
              </w:rPr>
              <w:t>单次</w:t>
            </w:r>
            <w:r>
              <w:rPr>
                <w:rFonts w:hint="eastAsia" w:ascii="仿宋_GB2312" w:hAnsi="仿宋_GB2312" w:eastAsia="仿宋_GB2312" w:cs="仿宋_GB2312"/>
                <w:sz w:val="20"/>
                <w:szCs w:val="20"/>
              </w:rPr>
              <w:t>给付意外伤害住院</w:t>
            </w:r>
            <w:r>
              <w:rPr>
                <w:rFonts w:hint="eastAsia" w:ascii="仿宋_GB2312" w:hAnsi="仿宋_GB2312" w:eastAsia="仿宋_GB2312" w:cs="仿宋_GB2312"/>
                <w:sz w:val="20"/>
                <w:szCs w:val="20"/>
                <w:lang w:eastAsia="zh-CN"/>
              </w:rPr>
              <w:t>津贴</w:t>
            </w:r>
            <w:r>
              <w:rPr>
                <w:rFonts w:hint="eastAsia" w:ascii="仿宋_GB2312" w:hAnsi="仿宋_GB2312" w:eastAsia="仿宋_GB2312" w:cs="仿宋_GB2312"/>
                <w:sz w:val="20"/>
                <w:szCs w:val="20"/>
              </w:rPr>
              <w:t>保险金的天数以180天为限，累计</w:t>
            </w:r>
            <w:r>
              <w:rPr>
                <w:rFonts w:hint="eastAsia" w:ascii="仿宋_GB2312" w:hAnsi="仿宋_GB2312" w:eastAsia="仿宋_GB2312" w:cs="仿宋_GB2312"/>
                <w:sz w:val="20"/>
                <w:szCs w:val="20"/>
                <w:lang w:val="en-US" w:eastAsia="zh-CN"/>
              </w:rPr>
              <w:t>365天为限，</w:t>
            </w:r>
            <w:r>
              <w:rPr>
                <w:rFonts w:hint="eastAsia" w:ascii="仿宋_GB2312" w:hAnsi="仿宋_GB2312" w:eastAsia="仿宋_GB2312" w:cs="仿宋_GB2312"/>
                <w:sz w:val="20"/>
                <w:szCs w:val="20"/>
              </w:rPr>
              <w:t>当一次给付天数达到180天或累计</w:t>
            </w:r>
            <w:r>
              <w:rPr>
                <w:rFonts w:hint="eastAsia" w:ascii="仿宋_GB2312" w:hAnsi="仿宋_GB2312" w:eastAsia="仿宋_GB2312" w:cs="仿宋_GB2312"/>
                <w:sz w:val="20"/>
                <w:szCs w:val="20"/>
                <w:lang w:eastAsia="zh-CN"/>
              </w:rPr>
              <w:t>达到</w:t>
            </w:r>
            <w:r>
              <w:rPr>
                <w:rFonts w:hint="eastAsia" w:ascii="仿宋_GB2312" w:hAnsi="仿宋_GB2312" w:eastAsia="仿宋_GB2312" w:cs="仿宋_GB2312"/>
                <w:sz w:val="20"/>
                <w:szCs w:val="20"/>
                <w:lang w:val="en-US" w:eastAsia="zh-CN"/>
              </w:rPr>
              <w:t>365天</w:t>
            </w:r>
            <w:r>
              <w:rPr>
                <w:rFonts w:hint="eastAsia" w:ascii="仿宋_GB2312" w:hAnsi="仿宋_GB2312" w:eastAsia="仿宋_GB2312" w:cs="仿宋_GB2312"/>
                <w:sz w:val="20"/>
                <w:szCs w:val="20"/>
              </w:rPr>
              <w:t>时，保险人对该被保险人的保险责任即时终止。</w:t>
            </w:r>
          </w:p>
          <w:p w14:paraId="43564F8E">
            <w:pPr>
              <w:widowControl w:val="0"/>
              <w:numPr>
                <w:ilvl w:val="0"/>
                <w:numId w:val="0"/>
              </w:numPr>
              <w:spacing w:line="360" w:lineRule="exact"/>
              <w:ind w:firstLine="420" w:firstLineChars="200"/>
              <w:jc w:val="both"/>
              <w:rPr>
                <w:rFonts w:hint="eastAsia" w:ascii="仿宋_GB2312" w:hAnsi="仿宋_GB2312" w:eastAsia="仿宋_GB2312" w:cs="仿宋_GB2312"/>
                <w:b/>
                <w:bCs/>
                <w:sz w:val="20"/>
                <w:szCs w:val="20"/>
                <w:lang w:eastAsia="zh-CN"/>
              </w:rPr>
            </w:pPr>
            <w:r>
              <w:rPr>
                <w:rFonts w:hint="eastAsia" w:ascii="仿宋_GB2312" w:hAnsi="仿宋_GB2312" w:eastAsia="仿宋_GB2312" w:cs="仿宋_GB2312"/>
              </w:rPr>
              <w:t xml:space="preserve"> </w:t>
            </w: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sz w:val="20"/>
                <w:szCs w:val="20"/>
              </w:rPr>
              <w:t>猝</w:t>
            </w:r>
            <w:r>
              <w:rPr>
                <w:rFonts w:hint="eastAsia" w:ascii="仿宋_GB2312" w:hAnsi="仿宋_GB2312" w:eastAsia="仿宋_GB2312" w:cs="仿宋_GB2312"/>
                <w:b/>
                <w:sz w:val="20"/>
                <w:szCs w:val="20"/>
              </w:rPr>
              <w:t>死</w:t>
            </w:r>
            <w:r>
              <w:rPr>
                <w:rFonts w:hint="eastAsia" w:ascii="仿宋_GB2312" w:hAnsi="仿宋_GB2312" w:eastAsia="仿宋_GB2312" w:cs="仿宋_GB2312"/>
                <w:b/>
                <w:sz w:val="20"/>
                <w:szCs w:val="20"/>
                <w:lang w:eastAsia="zh-CN"/>
              </w:rPr>
              <w:t>保险</w:t>
            </w:r>
          </w:p>
          <w:p w14:paraId="0F772A63">
            <w:pPr>
              <w:spacing w:line="360" w:lineRule="exact"/>
              <w:ind w:firstLine="400" w:firstLineChars="200"/>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sz w:val="20"/>
                <w:szCs w:val="20"/>
              </w:rPr>
              <w:t>在保险期间内，被保险人由保险人指定或者认可的医疗机构诊断为猝死的，保险人按照本附加合同载明的保险金额负责给付猝死保险金，同时本附加合同约定的对该被保险人的保险责任终止。</w:t>
            </w:r>
          </w:p>
        </w:tc>
      </w:tr>
      <w:tr w14:paraId="66E3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1374" w:type="dxa"/>
            <w:noWrap w:val="0"/>
            <w:vAlign w:val="top"/>
          </w:tcPr>
          <w:p w14:paraId="39165E92">
            <w:pPr>
              <w:pStyle w:val="5"/>
              <w:spacing w:line="360" w:lineRule="exact"/>
              <w:ind w:firstLine="0" w:firstLineChars="0"/>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0"/>
                <w:szCs w:val="20"/>
              </w:rPr>
              <w:t>保障项目及赔偿限额</w:t>
            </w:r>
          </w:p>
        </w:tc>
        <w:tc>
          <w:tcPr>
            <w:tcW w:w="7148" w:type="dxa"/>
            <w:noWrap w:val="0"/>
            <w:vAlign w:val="top"/>
          </w:tcPr>
          <w:p w14:paraId="1B619C2D">
            <w:pPr>
              <w:pStyle w:val="5"/>
              <w:spacing w:line="360" w:lineRule="exact"/>
              <w:ind w:firstLine="0" w:firstLineChars="0"/>
              <w:rPr>
                <w:rFonts w:hint="eastAsia" w:ascii="仿宋_GB2312" w:hAnsi="仿宋_GB2312" w:eastAsia="仿宋_GB2312" w:cs="仿宋_GB2312"/>
                <w:kern w:val="2"/>
                <w:sz w:val="21"/>
                <w:szCs w:val="21"/>
                <w:lang w:val="en-US" w:eastAsia="zh-CN" w:bidi="ar-SA"/>
              </w:rPr>
            </w:pPr>
          </w:p>
          <w:tbl>
            <w:tblPr>
              <w:tblStyle w:val="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824"/>
              <w:gridCol w:w="4319"/>
            </w:tblGrid>
            <w:tr w14:paraId="381C2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60" w:type="pct"/>
                  <w:noWrap w:val="0"/>
                  <w:vAlign w:val="center"/>
                </w:tcPr>
                <w:p w14:paraId="7821CBD0">
                  <w:pPr>
                    <w:pStyle w:val="5"/>
                    <w:spacing w:line="240" w:lineRule="atLeast"/>
                    <w:ind w:firstLine="0" w:firstLineChars="0"/>
                    <w:jc w:val="center"/>
                    <w:rPr>
                      <w:rFonts w:hint="eastAsia"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序号</w:t>
                  </w:r>
                </w:p>
              </w:tc>
              <w:tc>
                <w:tcPr>
                  <w:tcW w:w="1318" w:type="pct"/>
                  <w:noWrap w:val="0"/>
                  <w:vAlign w:val="center"/>
                </w:tcPr>
                <w:p w14:paraId="498328E8">
                  <w:pPr>
                    <w:pStyle w:val="5"/>
                    <w:spacing w:line="240" w:lineRule="atLeast"/>
                    <w:ind w:firstLine="0" w:firstLineChars="0"/>
                    <w:jc w:val="center"/>
                    <w:rPr>
                      <w:rFonts w:hint="eastAsia" w:ascii="仿宋_GB2312" w:hAnsi="仿宋_GB2312" w:eastAsia="仿宋_GB2312" w:cs="仿宋_GB2312"/>
                      <w:b/>
                      <w:sz w:val="20"/>
                      <w:szCs w:val="20"/>
                      <w:u w:val="single"/>
                      <w:lang w:val="en-US" w:eastAsia="zh-CN"/>
                    </w:rPr>
                  </w:pPr>
                  <w:r>
                    <w:rPr>
                      <w:rFonts w:hint="eastAsia" w:ascii="仿宋_GB2312" w:hAnsi="仿宋_GB2312" w:eastAsia="仿宋_GB2312" w:cs="仿宋_GB2312"/>
                      <w:b/>
                      <w:sz w:val="20"/>
                      <w:szCs w:val="20"/>
                      <w:u w:val="none"/>
                      <w:lang w:val="en-US" w:eastAsia="zh-CN"/>
                    </w:rPr>
                    <w:t>保障项目</w:t>
                  </w:r>
                </w:p>
              </w:tc>
              <w:tc>
                <w:tcPr>
                  <w:tcW w:w="3121" w:type="pct"/>
                  <w:noWrap w:val="0"/>
                  <w:vAlign w:val="center"/>
                </w:tcPr>
                <w:p w14:paraId="255891BD">
                  <w:pPr>
                    <w:pStyle w:val="5"/>
                    <w:spacing w:line="240" w:lineRule="atLeast"/>
                    <w:ind w:firstLine="0" w:firstLineChars="0"/>
                    <w:jc w:val="center"/>
                    <w:rPr>
                      <w:rFonts w:hint="eastAsia" w:ascii="仿宋_GB2312" w:hAnsi="仿宋_GB2312" w:eastAsia="仿宋_GB2312" w:cs="仿宋_GB2312"/>
                      <w:b/>
                      <w:sz w:val="20"/>
                      <w:szCs w:val="20"/>
                      <w:u w:val="none"/>
                      <w:lang w:val="en-US" w:eastAsia="zh-CN"/>
                    </w:rPr>
                  </w:pPr>
                  <w:r>
                    <w:rPr>
                      <w:rFonts w:hint="eastAsia" w:ascii="仿宋_GB2312" w:hAnsi="仿宋_GB2312" w:eastAsia="仿宋_GB2312" w:cs="仿宋_GB2312"/>
                      <w:b/>
                      <w:sz w:val="20"/>
                      <w:szCs w:val="20"/>
                      <w:u w:val="none"/>
                      <w:lang w:val="en-US" w:eastAsia="zh-CN"/>
                    </w:rPr>
                    <w:t>保障限额（人民币）</w:t>
                  </w:r>
                </w:p>
              </w:tc>
            </w:tr>
            <w:tr w14:paraId="562EE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0" w:type="pct"/>
                  <w:noWrap w:val="0"/>
                  <w:vAlign w:val="center"/>
                </w:tcPr>
                <w:p w14:paraId="6206FCBF">
                  <w:pPr>
                    <w:spacing w:line="240" w:lineRule="atLeas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w:t>
                  </w:r>
                </w:p>
              </w:tc>
              <w:tc>
                <w:tcPr>
                  <w:tcW w:w="1318" w:type="pct"/>
                  <w:noWrap w:val="0"/>
                  <w:vAlign w:val="center"/>
                </w:tcPr>
                <w:p w14:paraId="381B3611">
                  <w:pPr>
                    <w:pStyle w:val="5"/>
                    <w:spacing w:line="240" w:lineRule="atLeast"/>
                    <w:ind w:firstLine="0" w:firstLineChars="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意外身故、伤残</w:t>
                  </w:r>
                </w:p>
              </w:tc>
              <w:tc>
                <w:tcPr>
                  <w:tcW w:w="3121" w:type="pct"/>
                  <w:noWrap w:val="0"/>
                  <w:vAlign w:val="center"/>
                </w:tcPr>
                <w:p w14:paraId="4DA08B42">
                  <w:pPr>
                    <w:pStyle w:val="5"/>
                    <w:spacing w:line="240" w:lineRule="atLeast"/>
                    <w:ind w:firstLine="0" w:firstLineChars="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50万元/人</w:t>
                  </w:r>
                </w:p>
              </w:tc>
            </w:tr>
            <w:tr w14:paraId="3FB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0" w:type="pct"/>
                  <w:noWrap w:val="0"/>
                  <w:vAlign w:val="center"/>
                </w:tcPr>
                <w:p w14:paraId="38648DBA">
                  <w:pPr>
                    <w:spacing w:line="240" w:lineRule="atLeas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w:t>
                  </w:r>
                </w:p>
              </w:tc>
              <w:tc>
                <w:tcPr>
                  <w:tcW w:w="1318" w:type="pct"/>
                  <w:noWrap w:val="0"/>
                  <w:vAlign w:val="center"/>
                </w:tcPr>
                <w:p w14:paraId="759950BC">
                  <w:pPr>
                    <w:pStyle w:val="5"/>
                    <w:spacing w:line="240" w:lineRule="atLeast"/>
                    <w:ind w:firstLine="0" w:firstLineChars="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b w:val="0"/>
                      <w:bCs w:val="0"/>
                      <w:color w:val="000000" w:themeColor="text1"/>
                      <w:sz w:val="20"/>
                      <w:szCs w:val="20"/>
                      <w:lang w:val="en-US" w:eastAsia="zh-CN"/>
                      <w14:textFill>
                        <w14:solidFill>
                          <w14:schemeClr w14:val="tx1"/>
                        </w14:solidFill>
                      </w14:textFill>
                    </w:rPr>
                    <w:t>猝死责任</w:t>
                  </w:r>
                </w:p>
              </w:tc>
              <w:tc>
                <w:tcPr>
                  <w:tcW w:w="3121" w:type="pct"/>
                  <w:noWrap w:val="0"/>
                  <w:vAlign w:val="center"/>
                </w:tcPr>
                <w:p w14:paraId="436D93E4">
                  <w:pPr>
                    <w:pStyle w:val="5"/>
                    <w:spacing w:line="240" w:lineRule="atLeast"/>
                    <w:ind w:firstLine="0" w:firstLineChars="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30万元/人</w:t>
                  </w:r>
                </w:p>
              </w:tc>
            </w:tr>
            <w:tr w14:paraId="5198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0" w:type="pct"/>
                  <w:noWrap w:val="0"/>
                  <w:vAlign w:val="center"/>
                </w:tcPr>
                <w:p w14:paraId="6772110B">
                  <w:pPr>
                    <w:spacing w:line="240" w:lineRule="atLeas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w:t>
                  </w:r>
                </w:p>
              </w:tc>
              <w:tc>
                <w:tcPr>
                  <w:tcW w:w="1318" w:type="pct"/>
                  <w:noWrap w:val="0"/>
                  <w:vAlign w:val="center"/>
                </w:tcPr>
                <w:p w14:paraId="5F0B0E08">
                  <w:pPr>
                    <w:pStyle w:val="5"/>
                    <w:spacing w:line="240" w:lineRule="atLeast"/>
                    <w:ind w:firstLine="0" w:firstLineChars="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意外医疗</w:t>
                  </w:r>
                </w:p>
              </w:tc>
              <w:tc>
                <w:tcPr>
                  <w:tcW w:w="3121" w:type="pct"/>
                  <w:noWrap w:val="0"/>
                  <w:vAlign w:val="center"/>
                </w:tcPr>
                <w:p w14:paraId="1F8BC89D">
                  <w:pPr>
                    <w:pStyle w:val="5"/>
                    <w:spacing w:line="240" w:lineRule="atLeast"/>
                    <w:ind w:firstLine="0" w:firstLineChars="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5万元/人</w:t>
                  </w:r>
                </w:p>
              </w:tc>
            </w:tr>
            <w:tr w14:paraId="1038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0" w:type="pct"/>
                  <w:noWrap w:val="0"/>
                  <w:vAlign w:val="center"/>
                </w:tcPr>
                <w:p w14:paraId="6D8925C3">
                  <w:pPr>
                    <w:spacing w:line="240" w:lineRule="atLeas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4</w:t>
                  </w:r>
                </w:p>
              </w:tc>
              <w:tc>
                <w:tcPr>
                  <w:tcW w:w="1318" w:type="pct"/>
                  <w:noWrap w:val="0"/>
                  <w:vAlign w:val="center"/>
                </w:tcPr>
                <w:p w14:paraId="0E5145CE">
                  <w:pPr>
                    <w:pStyle w:val="5"/>
                    <w:spacing w:line="240" w:lineRule="atLeast"/>
                    <w:ind w:firstLine="0" w:firstLineChars="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意外住院津贴</w:t>
                  </w:r>
                </w:p>
              </w:tc>
              <w:tc>
                <w:tcPr>
                  <w:tcW w:w="3121" w:type="pct"/>
                  <w:noWrap w:val="0"/>
                  <w:vAlign w:val="center"/>
                </w:tcPr>
                <w:p w14:paraId="15D2A6B1">
                  <w:pPr>
                    <w:pStyle w:val="5"/>
                    <w:spacing w:line="240" w:lineRule="atLeast"/>
                    <w:ind w:firstLine="0" w:firstLineChars="0"/>
                    <w:jc w:val="center"/>
                    <w:rPr>
                      <w:rFonts w:hint="eastAsia" w:ascii="仿宋_GB2312" w:hAnsi="仿宋_GB2312" w:eastAsia="仿宋_GB2312" w:cs="仿宋_GB2312"/>
                      <w:b w:val="0"/>
                      <w:bCs w:val="0"/>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0"/>
                      <w:szCs w:val="20"/>
                      <w:lang w:val="en-US" w:eastAsia="zh-CN"/>
                      <w14:textFill>
                        <w14:solidFill>
                          <w14:schemeClr w14:val="tx1"/>
                        </w14:solidFill>
                      </w14:textFill>
                    </w:rPr>
                    <w:t>160元/人/天（每次90天，累计180天）</w:t>
                  </w:r>
                </w:p>
                <w:p w14:paraId="33785F1D">
                  <w:pPr>
                    <w:pStyle w:val="5"/>
                    <w:spacing w:line="240" w:lineRule="atLeast"/>
                    <w:ind w:firstLine="0" w:firstLineChars="0"/>
                    <w:jc w:val="center"/>
                    <w:rPr>
                      <w:rFonts w:hint="eastAsia" w:ascii="仿宋_GB2312" w:hAnsi="仿宋_GB2312" w:eastAsia="仿宋_GB2312" w:cs="仿宋_GB2312"/>
                      <w:b w:val="0"/>
                      <w:bCs w:val="0"/>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0"/>
                      <w:szCs w:val="20"/>
                      <w:lang w:val="en-US" w:eastAsia="zh-CN"/>
                      <w14:textFill>
                        <w14:solidFill>
                          <w14:schemeClr w14:val="tx1"/>
                        </w14:solidFill>
                      </w14:textFill>
                    </w:rPr>
                    <w:t>ICU双倍给付：320元/人/天（累计10天，超出累计的天数按照意外住院津贴的标准给付）</w:t>
                  </w:r>
                </w:p>
              </w:tc>
            </w:tr>
          </w:tbl>
          <w:p w14:paraId="037D6675">
            <w:pPr>
              <w:pStyle w:val="5"/>
              <w:spacing w:line="360" w:lineRule="exact"/>
              <w:ind w:firstLine="0" w:firstLineChars="0"/>
              <w:rPr>
                <w:rFonts w:hint="eastAsia" w:ascii="仿宋_GB2312" w:hAnsi="仿宋_GB2312" w:eastAsia="仿宋_GB2312" w:cs="仿宋_GB2312"/>
                <w:kern w:val="2"/>
                <w:sz w:val="21"/>
                <w:szCs w:val="21"/>
                <w:lang w:val="en-US" w:eastAsia="zh-CN" w:bidi="ar-SA"/>
              </w:rPr>
            </w:pPr>
          </w:p>
        </w:tc>
      </w:tr>
      <w:tr w14:paraId="0A9B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noWrap w:val="0"/>
            <w:vAlign w:val="top"/>
          </w:tcPr>
          <w:p w14:paraId="25383E3C">
            <w:pPr>
              <w:pStyle w:val="5"/>
              <w:spacing w:line="360" w:lineRule="exact"/>
              <w:ind w:firstLine="0" w:firstLineChars="0"/>
              <w:rPr>
                <w:rFonts w:hint="eastAsia" w:ascii="仿宋_GB2312" w:hAnsi="仿宋_GB2312" w:eastAsia="仿宋_GB2312" w:cs="仿宋_GB2312"/>
                <w:b/>
                <w:sz w:val="21"/>
                <w:szCs w:val="21"/>
              </w:rPr>
            </w:pPr>
            <w:r>
              <w:rPr>
                <w:rFonts w:hint="eastAsia" w:ascii="仿宋_GB2312" w:hAnsi="仿宋_GB2312" w:eastAsia="仿宋_GB2312" w:cs="仿宋_GB2312"/>
                <w:b/>
                <w:sz w:val="20"/>
                <w:szCs w:val="20"/>
              </w:rPr>
              <w:t>保险期限</w:t>
            </w:r>
          </w:p>
        </w:tc>
        <w:tc>
          <w:tcPr>
            <w:tcW w:w="7148" w:type="dxa"/>
            <w:noWrap w:val="0"/>
            <w:vAlign w:val="top"/>
          </w:tcPr>
          <w:p w14:paraId="483234F5">
            <w:pPr>
              <w:spacing w:line="360" w:lineRule="exact"/>
              <w:rPr>
                <w:rFonts w:hint="eastAsia" w:ascii="仿宋_GB2312" w:hAnsi="仿宋_GB2312" w:eastAsia="仿宋_GB2312" w:cs="仿宋_GB2312"/>
                <w:sz w:val="21"/>
                <w:szCs w:val="21"/>
                <w:lang w:val="en-US"/>
              </w:rPr>
            </w:pPr>
            <w:r>
              <w:rPr>
                <w:rFonts w:hint="eastAsia" w:ascii="仿宋_GB2312" w:hAnsi="仿宋_GB2312" w:eastAsia="仿宋_GB2312" w:cs="仿宋_GB2312"/>
                <w:sz w:val="20"/>
                <w:szCs w:val="20"/>
                <w:lang w:val="en-US" w:eastAsia="zh-CN"/>
              </w:rPr>
              <w:t>12个月，以实际起保时间为准</w:t>
            </w:r>
          </w:p>
        </w:tc>
      </w:tr>
      <w:tr w14:paraId="150D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noWrap w:val="0"/>
            <w:vAlign w:val="top"/>
          </w:tcPr>
          <w:p w14:paraId="106504E7">
            <w:pPr>
              <w:pStyle w:val="5"/>
              <w:spacing w:line="360" w:lineRule="exact"/>
              <w:ind w:firstLine="0" w:firstLineChars="0"/>
              <w:rPr>
                <w:rFonts w:hint="eastAsia" w:ascii="仿宋_GB2312" w:hAnsi="仿宋_GB2312" w:eastAsia="仿宋_GB2312" w:cs="仿宋_GB2312"/>
                <w:b/>
                <w:sz w:val="21"/>
                <w:szCs w:val="21"/>
              </w:rPr>
            </w:pPr>
            <w:r>
              <w:rPr>
                <w:rFonts w:hint="eastAsia" w:ascii="仿宋_GB2312" w:hAnsi="仿宋_GB2312" w:eastAsia="仿宋_GB2312" w:cs="仿宋_GB2312"/>
                <w:b/>
                <w:sz w:val="20"/>
                <w:szCs w:val="20"/>
              </w:rPr>
              <w:t>司法管辖</w:t>
            </w:r>
          </w:p>
        </w:tc>
        <w:tc>
          <w:tcPr>
            <w:tcW w:w="7148" w:type="dxa"/>
            <w:noWrap w:val="0"/>
            <w:vAlign w:val="top"/>
          </w:tcPr>
          <w:p w14:paraId="6EF73351">
            <w:pPr>
              <w:spacing w:line="360" w:lineRule="exac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0"/>
                <w:szCs w:val="20"/>
              </w:rPr>
              <w:t>中华人民共和国（港、澳、台除外）</w:t>
            </w:r>
          </w:p>
        </w:tc>
      </w:tr>
      <w:tr w14:paraId="1314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noWrap w:val="0"/>
            <w:vAlign w:val="top"/>
          </w:tcPr>
          <w:p w14:paraId="0FFC49C4">
            <w:pPr>
              <w:pStyle w:val="5"/>
              <w:spacing w:line="360" w:lineRule="exact"/>
              <w:ind w:firstLine="0" w:firstLineChars="0"/>
              <w:rPr>
                <w:rFonts w:hint="eastAsia" w:ascii="仿宋_GB2312" w:hAnsi="仿宋_GB2312" w:eastAsia="仿宋_GB2312" w:cs="仿宋_GB2312"/>
                <w:b/>
                <w:sz w:val="21"/>
                <w:szCs w:val="21"/>
              </w:rPr>
            </w:pPr>
            <w:r>
              <w:rPr>
                <w:rFonts w:hint="eastAsia" w:ascii="仿宋_GB2312" w:hAnsi="仿宋_GB2312" w:eastAsia="仿宋_GB2312" w:cs="仿宋_GB2312"/>
                <w:b/>
                <w:sz w:val="20"/>
                <w:szCs w:val="20"/>
              </w:rPr>
              <w:t>基本险条款</w:t>
            </w:r>
          </w:p>
        </w:tc>
        <w:tc>
          <w:tcPr>
            <w:tcW w:w="7148" w:type="dxa"/>
            <w:noWrap w:val="0"/>
            <w:vAlign w:val="top"/>
          </w:tcPr>
          <w:p w14:paraId="71570089">
            <w:pPr>
              <w:pStyle w:val="5"/>
              <w:spacing w:line="360" w:lineRule="exact"/>
              <w:ind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0"/>
                <w:szCs w:val="20"/>
              </w:rPr>
              <w:t>团体人身意外伤害保险</w:t>
            </w:r>
          </w:p>
        </w:tc>
      </w:tr>
      <w:tr w14:paraId="6C5C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noWrap w:val="0"/>
            <w:vAlign w:val="top"/>
          </w:tcPr>
          <w:p w14:paraId="15A0C3DF">
            <w:pPr>
              <w:pStyle w:val="5"/>
              <w:spacing w:line="360" w:lineRule="exact"/>
              <w:ind w:firstLine="0" w:firstLineChars="0"/>
              <w:rPr>
                <w:rFonts w:hint="eastAsia" w:ascii="仿宋_GB2312" w:hAnsi="仿宋_GB2312" w:eastAsia="仿宋_GB2312" w:cs="仿宋_GB2312"/>
                <w:b/>
                <w:sz w:val="21"/>
                <w:szCs w:val="21"/>
              </w:rPr>
            </w:pPr>
            <w:r>
              <w:rPr>
                <w:rFonts w:hint="eastAsia" w:ascii="仿宋_GB2312" w:hAnsi="仿宋_GB2312" w:eastAsia="仿宋_GB2312" w:cs="仿宋_GB2312"/>
                <w:b/>
                <w:sz w:val="20"/>
                <w:szCs w:val="20"/>
              </w:rPr>
              <w:t>附加条款</w:t>
            </w:r>
          </w:p>
        </w:tc>
        <w:tc>
          <w:tcPr>
            <w:tcW w:w="7148" w:type="dxa"/>
            <w:noWrap w:val="0"/>
            <w:vAlign w:val="top"/>
          </w:tcPr>
          <w:p w14:paraId="2DEE97AC">
            <w:pPr>
              <w:spacing w:line="360" w:lineRule="exact"/>
              <w:jc w:val="left"/>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1. 附加</w:t>
            </w:r>
            <w:r>
              <w:rPr>
                <w:rFonts w:hint="eastAsia" w:ascii="仿宋_GB2312" w:hAnsi="仿宋_GB2312" w:eastAsia="仿宋_GB2312" w:cs="仿宋_GB2312"/>
                <w:sz w:val="20"/>
                <w:szCs w:val="20"/>
                <w:lang w:val="en-US" w:eastAsia="zh-Hans"/>
              </w:rPr>
              <w:t>团体</w:t>
            </w:r>
            <w:r>
              <w:rPr>
                <w:rFonts w:hint="eastAsia" w:ascii="仿宋_GB2312" w:hAnsi="仿宋_GB2312" w:eastAsia="仿宋_GB2312" w:cs="仿宋_GB2312"/>
                <w:sz w:val="20"/>
                <w:szCs w:val="20"/>
                <w:lang w:eastAsia="zh-CN"/>
              </w:rPr>
              <w:t>意外伤害医疗保险条款；</w:t>
            </w:r>
          </w:p>
          <w:p w14:paraId="2625E74E">
            <w:pPr>
              <w:spacing w:line="360" w:lineRule="exact"/>
              <w:jc w:val="left"/>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2. 附加意外伤害住院补贴医疗保险条款；</w:t>
            </w:r>
          </w:p>
          <w:p w14:paraId="6FD14178">
            <w:pPr>
              <w:spacing w:line="360" w:lineRule="exact"/>
              <w:jc w:val="left"/>
              <w:rPr>
                <w:rFonts w:hint="eastAsia" w:ascii="仿宋_GB2312" w:hAnsi="仿宋_GB2312" w:eastAsia="仿宋_GB2312" w:cs="仿宋_GB2312"/>
                <w:lang w:val="en-US" w:eastAsia="zh-CN"/>
              </w:rPr>
            </w:pPr>
            <w:r>
              <w:rPr>
                <w:rFonts w:hint="eastAsia" w:ascii="仿宋_GB2312" w:hAnsi="仿宋_GB2312" w:eastAsia="仿宋_GB2312" w:cs="仿宋_GB2312"/>
                <w:sz w:val="20"/>
                <w:szCs w:val="20"/>
                <w:lang w:eastAsia="zh-CN"/>
              </w:rPr>
              <w:t>3.</w:t>
            </w:r>
            <w:r>
              <w:rPr>
                <w:rFonts w:hint="eastAsia" w:ascii="仿宋_GB2312" w:hAnsi="仿宋_GB2312" w:eastAsia="仿宋_GB2312" w:cs="仿宋_GB2312"/>
                <w:sz w:val="20"/>
                <w:szCs w:val="20"/>
                <w:lang w:val="en-US" w:eastAsia="zh-CN"/>
              </w:rPr>
              <w:t xml:space="preserve"> </w:t>
            </w:r>
            <w:r>
              <w:rPr>
                <w:rFonts w:hint="eastAsia" w:ascii="仿宋_GB2312" w:hAnsi="仿宋_GB2312" w:eastAsia="仿宋_GB2312" w:cs="仿宋_GB2312"/>
                <w:sz w:val="20"/>
                <w:szCs w:val="20"/>
                <w:lang w:eastAsia="zh-CN"/>
              </w:rPr>
              <w:t>附加猝死保险条款。</w:t>
            </w:r>
          </w:p>
        </w:tc>
      </w:tr>
      <w:tr w14:paraId="2422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noWrap w:val="0"/>
            <w:vAlign w:val="top"/>
          </w:tcPr>
          <w:p w14:paraId="37182E64">
            <w:pPr>
              <w:pStyle w:val="5"/>
              <w:spacing w:line="360" w:lineRule="exact"/>
              <w:ind w:firstLine="0" w:firstLineChars="0"/>
              <w:rPr>
                <w:rFonts w:hint="eastAsia" w:ascii="仿宋_GB2312" w:hAnsi="仿宋_GB2312" w:eastAsia="仿宋_GB2312" w:cs="仿宋_GB2312"/>
                <w:b/>
                <w:sz w:val="21"/>
                <w:szCs w:val="21"/>
              </w:rPr>
            </w:pPr>
            <w:r>
              <w:rPr>
                <w:rFonts w:hint="eastAsia" w:ascii="仿宋_GB2312" w:hAnsi="仿宋_GB2312" w:eastAsia="仿宋_GB2312" w:cs="仿宋_GB2312"/>
                <w:b/>
                <w:sz w:val="20"/>
                <w:szCs w:val="20"/>
              </w:rPr>
              <w:t>特别约定</w:t>
            </w:r>
          </w:p>
        </w:tc>
        <w:tc>
          <w:tcPr>
            <w:tcW w:w="7148" w:type="dxa"/>
            <w:noWrap w:val="0"/>
            <w:vAlign w:val="top"/>
          </w:tcPr>
          <w:p w14:paraId="470B1DD8">
            <w:pPr>
              <w:spacing w:line="360" w:lineRule="exact"/>
              <w:ind w:firstLine="402" w:firstLineChars="200"/>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本保险合同效力优先顺序为：特别约定&gt;附加条款&gt;主险条款，以下特别约定若与本保险单的其他规定相冲突，则特别约定为准。</w:t>
            </w:r>
          </w:p>
          <w:p w14:paraId="1C44ACDF">
            <w:pPr>
              <w:spacing w:line="360" w:lineRule="exact"/>
              <w:ind w:firstLine="400" w:firstLineChars="20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eastAsia="zh-CN"/>
              </w:rPr>
              <w:t>1.</w:t>
            </w:r>
            <w:r>
              <w:rPr>
                <w:rFonts w:hint="eastAsia" w:ascii="仿宋_GB2312" w:hAnsi="仿宋_GB2312" w:eastAsia="仿宋_GB2312" w:cs="仿宋_GB2312"/>
                <w:sz w:val="20"/>
                <w:szCs w:val="20"/>
                <w:lang w:val="en-US" w:eastAsia="zh-CN"/>
              </w:rPr>
              <w:t>若被保险人已经从当地社会基本医疗保险、公费途径或其他途径获得赔偿的，剩余符合条款约定的医疗保险金给付的免赔额为0元，给付比例为100%；若被保险人未从当地社会基本医疗保险、公费途径或其他途径获得赔偿的，约定符合条款的医疗保险金给付免赔额为50元，给付比例为100%。</w:t>
            </w:r>
          </w:p>
          <w:p w14:paraId="1BD49703">
            <w:pPr>
              <w:spacing w:line="360" w:lineRule="exact"/>
              <w:ind w:firstLine="400" w:firstLineChars="200"/>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b/>
                <w:bCs/>
                <w:sz w:val="20"/>
                <w:szCs w:val="20"/>
                <w:lang w:eastAsia="zh-CN"/>
              </w:rPr>
              <w:t>扩展食物中毒责任：</w:t>
            </w:r>
            <w:r>
              <w:rPr>
                <w:rFonts w:hint="eastAsia" w:ascii="仿宋_GB2312" w:hAnsi="仿宋_GB2312" w:eastAsia="仿宋_GB2312" w:cs="仿宋_GB2312"/>
                <w:sz w:val="20"/>
                <w:szCs w:val="20"/>
                <w:lang w:eastAsia="zh-CN"/>
              </w:rPr>
              <w:t>被保险人因食物中毒进行治疗所支出的医疗费用属于保险责任范围。食物中毒指三人(含三人)以上集体中毒事件，以当地卫生防疫部门出具的证明或二级以上(含二级)医院出具的诊断证明为准。</w:t>
            </w:r>
          </w:p>
          <w:p w14:paraId="71120BD7">
            <w:pPr>
              <w:spacing w:line="360" w:lineRule="exact"/>
              <w:ind w:firstLine="400" w:firstLineChars="200"/>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val="en-US" w:eastAsia="zh-CN"/>
              </w:rPr>
              <w:t>3.</w:t>
            </w:r>
            <w:r>
              <w:rPr>
                <w:rFonts w:hint="eastAsia" w:ascii="仿宋_GB2312" w:hAnsi="仿宋_GB2312" w:eastAsia="仿宋_GB2312" w:cs="仿宋_GB2312"/>
                <w:b/>
                <w:bCs/>
                <w:sz w:val="20"/>
                <w:szCs w:val="20"/>
                <w:lang w:eastAsia="zh-CN"/>
              </w:rPr>
              <w:t>扩展动物咬伤责任：</w:t>
            </w:r>
            <w:r>
              <w:rPr>
                <w:rFonts w:hint="eastAsia" w:ascii="仿宋_GB2312" w:hAnsi="仿宋_GB2312" w:eastAsia="仿宋_GB2312" w:cs="仿宋_GB2312"/>
                <w:sz w:val="20"/>
                <w:szCs w:val="20"/>
                <w:lang w:eastAsia="zh-CN"/>
              </w:rPr>
              <w:t>被保险人被动物咬伤的医疗费用及注射狂犬疫苗费用，按100%给付。</w:t>
            </w:r>
          </w:p>
          <w:p w14:paraId="1E0EF3CA">
            <w:pPr>
              <w:spacing w:line="360" w:lineRule="exact"/>
              <w:ind w:firstLine="400" w:firstLineChars="200"/>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val="en-US" w:eastAsia="zh-CN"/>
              </w:rPr>
              <w:t>4.</w:t>
            </w:r>
            <w:r>
              <w:rPr>
                <w:rFonts w:hint="eastAsia" w:ascii="仿宋_GB2312" w:hAnsi="仿宋_GB2312" w:eastAsia="仿宋_GB2312" w:cs="仿宋_GB2312"/>
                <w:b/>
                <w:bCs/>
                <w:sz w:val="20"/>
                <w:szCs w:val="20"/>
                <w:lang w:eastAsia="zh-CN"/>
              </w:rPr>
              <w:t>扩展伤残鉴定费用责任：</w:t>
            </w:r>
            <w:r>
              <w:rPr>
                <w:rFonts w:hint="eastAsia" w:ascii="仿宋_GB2312" w:hAnsi="仿宋_GB2312" w:eastAsia="仿宋_GB2312" w:cs="仿宋_GB2312"/>
                <w:sz w:val="20"/>
                <w:szCs w:val="20"/>
                <w:lang w:eastAsia="zh-CN"/>
              </w:rPr>
              <w:t>被保险人因意外伤害致残并进行残疾鉴定所支出的残疾鉴定费用，每人每次限人民币600元。若经鉴定后并未达到最低残疾等级标准,则其伤残鉴定费不属于保险责任范围，仍由个人承担。</w:t>
            </w:r>
          </w:p>
          <w:p w14:paraId="0B2397B3">
            <w:pPr>
              <w:spacing w:line="360" w:lineRule="exact"/>
              <w:ind w:firstLine="400" w:firstLineChars="200"/>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val="en-US" w:eastAsia="zh-CN"/>
              </w:rPr>
              <w:t>5.</w:t>
            </w:r>
            <w:r>
              <w:rPr>
                <w:rFonts w:hint="eastAsia" w:ascii="仿宋_GB2312" w:hAnsi="仿宋_GB2312" w:eastAsia="仿宋_GB2312" w:cs="仿宋_GB2312"/>
                <w:b/>
                <w:bCs/>
                <w:sz w:val="20"/>
                <w:szCs w:val="20"/>
                <w:lang w:eastAsia="zh-CN"/>
              </w:rPr>
              <w:t>扩展救护车责任：</w:t>
            </w:r>
            <w:r>
              <w:rPr>
                <w:rFonts w:hint="eastAsia" w:ascii="仿宋_GB2312" w:hAnsi="仿宋_GB2312" w:eastAsia="仿宋_GB2312" w:cs="仿宋_GB2312"/>
                <w:sz w:val="20"/>
                <w:szCs w:val="20"/>
                <w:lang w:eastAsia="zh-CN"/>
              </w:rPr>
              <w:t>因意外急救使用120救护车及使用过程中产生的医疗器材费、急救药品费等合理急救医疗费用，在保险金额内，每人每次限人民币 500 元。</w:t>
            </w:r>
          </w:p>
          <w:p w14:paraId="0364487A">
            <w:pPr>
              <w:spacing w:line="360" w:lineRule="exact"/>
              <w:ind w:firstLine="400" w:firstLineChars="200"/>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val="en-US" w:eastAsia="zh-CN"/>
              </w:rPr>
              <w:t>6.</w:t>
            </w:r>
            <w:r>
              <w:rPr>
                <w:rFonts w:hint="eastAsia" w:ascii="仿宋_GB2312" w:hAnsi="仿宋_GB2312" w:eastAsia="仿宋_GB2312" w:cs="仿宋_GB2312"/>
                <w:b/>
                <w:bCs/>
                <w:sz w:val="20"/>
                <w:szCs w:val="20"/>
                <w:lang w:eastAsia="zh-CN"/>
              </w:rPr>
              <w:t>扩展因中暑导致的医疗费用：</w:t>
            </w:r>
            <w:r>
              <w:rPr>
                <w:rFonts w:hint="eastAsia" w:ascii="仿宋_GB2312" w:hAnsi="仿宋_GB2312" w:eastAsia="仿宋_GB2312" w:cs="仿宋_GB2312"/>
                <w:sz w:val="20"/>
                <w:szCs w:val="20"/>
                <w:lang w:eastAsia="zh-CN"/>
              </w:rPr>
              <w:t>按照0元免赔，100%给付每人限额人民币1万元。</w:t>
            </w:r>
          </w:p>
          <w:p w14:paraId="0988CF02">
            <w:pPr>
              <w:spacing w:line="360" w:lineRule="exact"/>
              <w:ind w:firstLine="400" w:firstLineChars="20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7.投保人应在每月15日（含15日，遇节假日可顺延至节假日后的第一个工作日）前办理上月1日至上月31日新入职人员的“增加被保险人”手续和离职人员的“减少被保险人手续”，被保险人生效追溯期为45天。但投保人申请办理被保险人增减变更的日期以本保险合同的满期日为限，即投保人需在保险合同期满日前办理完所有增减人员变更手续，逾期保险公司不予受理。</w:t>
            </w:r>
          </w:p>
          <w:p w14:paraId="2327A1EC">
            <w:pPr>
              <w:spacing w:line="360" w:lineRule="exact"/>
              <w:ind w:firstLine="400" w:firstLineChars="20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增减人员保险费计算：</w:t>
            </w:r>
          </w:p>
          <w:p w14:paraId="2E59691B">
            <w:pPr>
              <w:spacing w:line="360" w:lineRule="exact"/>
              <w:ind w:firstLine="400" w:firstLineChars="20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（1）新增被保险人应收保险费=每人年保费标准×实际承保天数÷365</w:t>
            </w:r>
          </w:p>
          <w:p w14:paraId="696DE8BD">
            <w:pPr>
              <w:spacing w:line="360" w:lineRule="exact"/>
              <w:ind w:firstLine="400" w:firstLineChars="20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（2）减少被保险人后保险公司应退给投保人的现金价值=每人实收保险费×（1-实际承保天数÷保险期间天数）</w:t>
            </w:r>
          </w:p>
          <w:p w14:paraId="263445D7">
            <w:pPr>
              <w:spacing w:line="360" w:lineRule="exact"/>
              <w:ind w:firstLine="400" w:firstLineChars="20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（3）如减少的被保险人已发生理赔的，则该险种应退保险费为0。</w:t>
            </w:r>
          </w:p>
          <w:p w14:paraId="6EBF72C9">
            <w:pPr>
              <w:spacing w:line="360" w:lineRule="exact"/>
              <w:ind w:firstLine="400" w:firstLineChars="20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对于每月发生批改所涉及的保费新增或减少，应在当月完成结算。</w:t>
            </w:r>
          </w:p>
          <w:p w14:paraId="2A19DE46">
            <w:pPr>
              <w:spacing w:line="360" w:lineRule="exact"/>
              <w:ind w:firstLine="400" w:firstLineChars="20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8.兹经双方同意，意外医疗案件索赔金额在2000元以内的，保险人同意，被保险人仅需提供相关电子发票即可进行正常赔付。</w:t>
            </w:r>
          </w:p>
          <w:p w14:paraId="60922FAB">
            <w:pPr>
              <w:spacing w:line="360" w:lineRule="exact"/>
              <w:ind w:firstLine="400" w:firstLineChars="20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9.本项目指定医院约定为国内二级以上（含二级）医院或保险公司认可的其他医疗机构；被保险人所在地的社保定点医院及社康中心；意外急救治疗当日不限医院。</w:t>
            </w:r>
          </w:p>
        </w:tc>
      </w:tr>
      <w:tr w14:paraId="78DA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4" w:type="dxa"/>
            <w:noWrap w:val="0"/>
            <w:vAlign w:val="top"/>
          </w:tcPr>
          <w:p w14:paraId="6444ABAD">
            <w:pPr>
              <w:pStyle w:val="5"/>
              <w:spacing w:line="360" w:lineRule="exact"/>
              <w:ind w:firstLine="0" w:firstLineChars="0"/>
              <w:rPr>
                <w:rFonts w:hint="eastAsia" w:ascii="仿宋_GB2312" w:hAnsi="仿宋_GB2312" w:eastAsia="仿宋_GB2312" w:cs="仿宋_GB2312"/>
                <w:b/>
                <w:sz w:val="20"/>
                <w:szCs w:val="20"/>
                <w:lang w:val="en-US" w:eastAsia="zh-CN"/>
              </w:rPr>
            </w:pPr>
            <w:r>
              <w:rPr>
                <w:rFonts w:hint="eastAsia" w:ascii="仿宋_GB2312" w:hAnsi="仿宋_GB2312" w:eastAsia="仿宋_GB2312" w:cs="仿宋_GB2312"/>
                <w:b/>
                <w:sz w:val="20"/>
                <w:szCs w:val="20"/>
                <w:lang w:val="en-US" w:eastAsia="zh-CN"/>
              </w:rPr>
              <w:t>免赔额/免赔率</w:t>
            </w:r>
          </w:p>
        </w:tc>
        <w:tc>
          <w:tcPr>
            <w:tcW w:w="7148" w:type="dxa"/>
            <w:noWrap w:val="0"/>
            <w:vAlign w:val="top"/>
          </w:tcPr>
          <w:p w14:paraId="02EB6349">
            <w:pPr>
              <w:spacing w:line="360" w:lineRule="exact"/>
              <w:ind w:firstLine="400" w:firstLineChars="20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意外医疗：0免赔，100%给付</w:t>
            </w:r>
          </w:p>
          <w:p w14:paraId="4E7E2823">
            <w:pPr>
              <w:spacing w:line="360" w:lineRule="exact"/>
              <w:ind w:firstLine="400" w:firstLineChars="200"/>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意外住院津贴：免赔天数0天</w:t>
            </w:r>
          </w:p>
        </w:tc>
      </w:tr>
    </w:tbl>
    <w:p w14:paraId="7201A6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0E1656"/>
    <w:rsid w:val="048D1783"/>
    <w:rsid w:val="0D92164F"/>
    <w:rsid w:val="270E1656"/>
    <w:rsid w:val="367A4F0E"/>
    <w:rsid w:val="4BC30D8B"/>
    <w:rsid w:val="4EA96B2F"/>
    <w:rsid w:val="60276B7F"/>
    <w:rsid w:val="7E253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0"/>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2620</Words>
  <Characters>2723</Characters>
  <Lines>0</Lines>
  <Paragraphs>0</Paragraphs>
  <TotalTime>12</TotalTime>
  <ScaleCrop>false</ScaleCrop>
  <LinksUpToDate>false</LinksUpToDate>
  <CharactersWithSpaces>2729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2025-10-30T06:12:00Z</dcterms:created>
  <dc:creator>WPS_1655080474</dc:creator>
  <cp:lastModifiedBy>殷豪</cp:lastModifiedBy>
  <cp:lastPrinted>2025-10-31T08:05:00Z</cp:lastPrinted>
  <dcterms:modified xsi:type="dcterms:W3CDTF">2025-10-31T09:20:03Z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1B52A200B64B4618B7B065742BCEBA29_11</vt:lpwstr>
  </property>
  <property fmtid="{D5CDD505-2E9C-101B-9397-08002B2CF9AE}" pid="4" name="KSOTemplateDocerSaveRecord">
    <vt:lpwstr>eyJoZGlkIjoiMDkyMGU2MjA5NjQ1ZGVjM2QxODNjZDU5MzY3ZTBmY2MiLCJ1c2VySWQiOiIzODU5MDgzMjUifQ==</vt:lpwstr>
  </property>
</Properties>
</file>