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1D0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2026-2027年管网清疏及其他水务设施清淤服务采购项目需求书</w:t>
      </w:r>
    </w:p>
    <w:p w14:paraId="065E656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</w:p>
    <w:tbl>
      <w:tblPr>
        <w:tblStyle w:val="5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363"/>
      </w:tblGrid>
      <w:tr w14:paraId="75FB9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445" w:type="dxa"/>
            <w:noWrap w:val="0"/>
            <w:vAlign w:val="center"/>
          </w:tcPr>
          <w:p w14:paraId="10CA3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资格</w:t>
            </w:r>
          </w:p>
          <w:p w14:paraId="50878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要求</w:t>
            </w:r>
          </w:p>
        </w:tc>
        <w:tc>
          <w:tcPr>
            <w:tcW w:w="8363" w:type="dxa"/>
            <w:noWrap w:val="0"/>
            <w:vAlign w:val="center"/>
          </w:tcPr>
          <w:p w14:paraId="106E5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1.报价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人必须是依法在中华人民共和国境内注册，且具有独立法人资格的企业或其他组织(提供有效的营业执照或法人（登记）证书扫描件)。</w:t>
            </w:r>
          </w:p>
          <w:p w14:paraId="4408B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2.报价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人近三年（从招标公告发布之日起倒推），在经营活动中没有重大违法记录，提供无重大违法记录的承诺函。（注：“重大违法违规行为”，是指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报价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人因违法经营受到刑事处罚或者责令停产停业、吊销许可证或者执照、较大数额罚款等行政处罚。）</w:t>
            </w:r>
          </w:p>
          <w:p w14:paraId="3310B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3.报价人必须具有安全生产许可证及市政公用工程施工总承包资质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(在报价文件中提供有效安全生产许可证和资质证书扫描件)。</w:t>
            </w:r>
          </w:p>
          <w:p w14:paraId="5B2B8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4.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本项目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招标时将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不接受联合体投标，不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允许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任何形式分包（含劳务分包），不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允许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转包。</w:t>
            </w:r>
          </w:p>
        </w:tc>
      </w:tr>
      <w:tr w14:paraId="04733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8" w:hRule="atLeast"/>
          <w:jc w:val="center"/>
        </w:trPr>
        <w:tc>
          <w:tcPr>
            <w:tcW w:w="1445" w:type="dxa"/>
            <w:noWrap w:val="0"/>
            <w:vAlign w:val="center"/>
          </w:tcPr>
          <w:p w14:paraId="4C2FA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采购项目技术/服务要求</w:t>
            </w:r>
          </w:p>
        </w:tc>
        <w:tc>
          <w:tcPr>
            <w:tcW w:w="8363" w:type="dxa"/>
            <w:noWrap w:val="0"/>
            <w:vAlign w:val="center"/>
          </w:tcPr>
          <w:p w14:paraId="07B61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一、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  <w:t>服务内容</w:t>
            </w:r>
          </w:p>
          <w:p w14:paraId="1C375EF3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深圳市宝安排水有限公司（含各分、子公司）组织实施的2026-2027年管网清疏及其他水务设施清淤服务，含人工清理管（渠）淤泥（含垃圾、油渣）、机械疏通清淤（清疏车辆装、处置）、人工配合机械疏通清淤（清疏车辆装车、处置）、人工配合机械清捞淤泥（含垃圾、油渣）（机械装车、汽车外运处置）、管渠树根清除、管渠内混凝土等固结物清除、泵站淤泥清理（受限空间、开放空间）、井室内清淤（含垃圾）、水下机器人清疏淤泥、机器人清疏淤泥、余渣杂物（非淤泥）外运处置、吊车台班、吸污车等服务内容。</w:t>
            </w:r>
          </w:p>
          <w:p w14:paraId="7DF78D09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2.宝安区范围内的管网清疏及其他水务设施清淤服务，具体清疏（清淤）地点及服务数量以甲方通知为准。</w:t>
            </w:r>
          </w:p>
          <w:p w14:paraId="1B6C387E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综合得分第1名的为中标供应商，招标人可以根据实际情况增加或减少各项内容（类别）的清淤长度，合同最终按中标单价和实际工作量据实结算，但结算金额不超过合同暂定价。</w:t>
            </w:r>
          </w:p>
          <w:p w14:paraId="4C47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64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本项目所需的所有作业材料及设施设备均由中标人提供，其数量和品种应满足作业要求，且不小于以下标准：</w:t>
            </w:r>
          </w:p>
          <w:tbl>
            <w:tblPr>
              <w:tblStyle w:val="5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7"/>
              <w:gridCol w:w="3077"/>
              <w:gridCol w:w="789"/>
              <w:gridCol w:w="762"/>
              <w:gridCol w:w="2839"/>
            </w:tblGrid>
            <w:tr w14:paraId="5FD91C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  <w:jc w:val="center"/>
              </w:trPr>
              <w:tc>
                <w:tcPr>
                  <w:tcW w:w="410" w:type="pct"/>
                  <w:noWrap w:val="0"/>
                  <w:vAlign w:val="center"/>
                </w:tcPr>
                <w:p w14:paraId="0F6C9F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891" w:type="pct"/>
                  <w:noWrap w:val="0"/>
                  <w:vAlign w:val="center"/>
                </w:tcPr>
                <w:p w14:paraId="77CD8D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485" w:type="pct"/>
                  <w:noWrap w:val="0"/>
                  <w:vAlign w:val="center"/>
                </w:tcPr>
                <w:p w14:paraId="3B3C322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468" w:type="pct"/>
                  <w:noWrap w:val="0"/>
                  <w:vAlign w:val="center"/>
                </w:tcPr>
                <w:p w14:paraId="5FE7C29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  <w:t>数量</w:t>
                  </w:r>
                </w:p>
              </w:tc>
              <w:tc>
                <w:tcPr>
                  <w:tcW w:w="1745" w:type="pct"/>
                  <w:noWrap w:val="0"/>
                  <w:vAlign w:val="center"/>
                </w:tcPr>
                <w:p w14:paraId="1D70CD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1"/>
                      <w:szCs w:val="21"/>
                    </w:rPr>
                    <w:t>备注</w:t>
                  </w:r>
                </w:p>
              </w:tc>
            </w:tr>
            <w:tr w14:paraId="497E21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410" w:type="pct"/>
                  <w:noWrap w:val="0"/>
                  <w:vAlign w:val="center"/>
                </w:tcPr>
                <w:p w14:paraId="4DAB954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891" w:type="pct"/>
                  <w:noWrap w:val="0"/>
                  <w:vAlign w:val="center"/>
                </w:tcPr>
                <w:p w14:paraId="7C1991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GB"/>
                    </w:rPr>
                    <w:t>CCTV检测设备</w:t>
                  </w:r>
                </w:p>
              </w:tc>
              <w:tc>
                <w:tcPr>
                  <w:tcW w:w="485" w:type="pct"/>
                  <w:noWrap w:val="0"/>
                  <w:vAlign w:val="center"/>
                </w:tcPr>
                <w:p w14:paraId="6B63EEC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台</w:t>
                  </w:r>
                </w:p>
              </w:tc>
              <w:tc>
                <w:tcPr>
                  <w:tcW w:w="468" w:type="pct"/>
                  <w:noWrap w:val="0"/>
                  <w:vAlign w:val="center"/>
                </w:tcPr>
                <w:p w14:paraId="3126906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745" w:type="pct"/>
                  <w:noWrap w:val="0"/>
                  <w:vAlign w:val="center"/>
                </w:tcPr>
                <w:p w14:paraId="33466D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6C1766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410" w:type="pct"/>
                  <w:noWrap w:val="0"/>
                  <w:vAlign w:val="center"/>
                </w:tcPr>
                <w:p w14:paraId="6C12EB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891" w:type="pct"/>
                  <w:noWrap w:val="0"/>
                  <w:vAlign w:val="center"/>
                </w:tcPr>
                <w:p w14:paraId="752FFE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QV检测设备</w:t>
                  </w:r>
                </w:p>
              </w:tc>
              <w:tc>
                <w:tcPr>
                  <w:tcW w:w="485" w:type="pct"/>
                  <w:noWrap w:val="0"/>
                  <w:vAlign w:val="center"/>
                </w:tcPr>
                <w:p w14:paraId="7EBED17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台</w:t>
                  </w:r>
                </w:p>
              </w:tc>
              <w:tc>
                <w:tcPr>
                  <w:tcW w:w="468" w:type="pct"/>
                  <w:noWrap w:val="0"/>
                  <w:vAlign w:val="center"/>
                </w:tcPr>
                <w:p w14:paraId="63A18CE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745" w:type="pct"/>
                  <w:noWrap w:val="0"/>
                  <w:vAlign w:val="center"/>
                </w:tcPr>
                <w:p w14:paraId="367D29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590A65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410" w:type="pct"/>
                  <w:noWrap w:val="0"/>
                  <w:vAlign w:val="center"/>
                </w:tcPr>
                <w:p w14:paraId="54F36D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891" w:type="pct"/>
                  <w:noWrap w:val="0"/>
                  <w:vAlign w:val="center"/>
                </w:tcPr>
                <w:p w14:paraId="23CB527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清洗吸污车</w:t>
                  </w:r>
                </w:p>
                <w:p w14:paraId="2D7F39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（总罐体容积大于8立方米）</w:t>
                  </w:r>
                </w:p>
              </w:tc>
              <w:tc>
                <w:tcPr>
                  <w:tcW w:w="485" w:type="pct"/>
                  <w:noWrap w:val="0"/>
                  <w:vAlign w:val="center"/>
                </w:tcPr>
                <w:p w14:paraId="766176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辆</w:t>
                  </w:r>
                </w:p>
              </w:tc>
              <w:tc>
                <w:tcPr>
                  <w:tcW w:w="468" w:type="pct"/>
                  <w:noWrap w:val="0"/>
                  <w:vAlign w:val="center"/>
                </w:tcPr>
                <w:p w14:paraId="434C93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745" w:type="pct"/>
                  <w:noWrap w:val="0"/>
                  <w:vAlign w:val="center"/>
                </w:tcPr>
                <w:p w14:paraId="7230C8D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1辆吸污车（罐体容积大于6立方米）加1辆高压疏通车或清洗车（罐体容积大于6立方米）可视作一辆清洗吸污车</w:t>
                  </w:r>
                </w:p>
              </w:tc>
            </w:tr>
            <w:tr w14:paraId="232768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410" w:type="pct"/>
                  <w:shd w:val="clear" w:color="auto" w:fill="auto"/>
                  <w:noWrap w:val="0"/>
                  <w:vAlign w:val="center"/>
                </w:tcPr>
                <w:p w14:paraId="1AC851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1891" w:type="pct"/>
                  <w:shd w:val="clear" w:color="auto" w:fill="auto"/>
                  <w:noWrap w:val="0"/>
                  <w:vAlign w:val="center"/>
                </w:tcPr>
                <w:p w14:paraId="13CF71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lang w:val="en-US" w:eastAsia="zh-CN"/>
                    </w:rPr>
                    <w:t>防撞缓冲车</w:t>
                  </w:r>
                </w:p>
              </w:tc>
              <w:tc>
                <w:tcPr>
                  <w:tcW w:w="485" w:type="pct"/>
                  <w:shd w:val="clear" w:color="auto" w:fill="auto"/>
                  <w:noWrap w:val="0"/>
                  <w:vAlign w:val="center"/>
                </w:tcPr>
                <w:p w14:paraId="485CE40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台</w:t>
                  </w:r>
                </w:p>
              </w:tc>
              <w:tc>
                <w:tcPr>
                  <w:tcW w:w="468" w:type="pct"/>
                  <w:shd w:val="clear" w:color="auto" w:fill="auto"/>
                  <w:noWrap w:val="0"/>
                  <w:vAlign w:val="center"/>
                </w:tcPr>
                <w:p w14:paraId="3E19D6D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1745" w:type="pct"/>
                  <w:shd w:val="clear" w:color="auto" w:fill="auto"/>
                  <w:noWrap w:val="0"/>
                  <w:vAlign w:val="center"/>
                </w:tcPr>
                <w:p w14:paraId="703A97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 w14:paraId="3C2806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2" w:hRule="atLeast"/>
                <w:jc w:val="center"/>
              </w:trPr>
              <w:tc>
                <w:tcPr>
                  <w:tcW w:w="410" w:type="pct"/>
                  <w:noWrap w:val="0"/>
                  <w:vAlign w:val="center"/>
                </w:tcPr>
                <w:p w14:paraId="2DB7B2B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1891" w:type="pct"/>
                  <w:noWrap w:val="0"/>
                  <w:vAlign w:val="center"/>
                </w:tcPr>
                <w:p w14:paraId="293CC05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长管呼吸器（空压机送风式或正压式）</w:t>
                  </w:r>
                </w:p>
              </w:tc>
              <w:tc>
                <w:tcPr>
                  <w:tcW w:w="485" w:type="pct"/>
                  <w:noWrap w:val="0"/>
                  <w:vAlign w:val="center"/>
                </w:tcPr>
                <w:p w14:paraId="128CA0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套</w:t>
                  </w:r>
                </w:p>
              </w:tc>
              <w:tc>
                <w:tcPr>
                  <w:tcW w:w="468" w:type="pct"/>
                  <w:noWrap w:val="0"/>
                  <w:vAlign w:val="center"/>
                </w:tcPr>
                <w:p w14:paraId="69FAFF5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745" w:type="pct"/>
                  <w:noWrap w:val="0"/>
                  <w:vAlign w:val="center"/>
                </w:tcPr>
                <w:p w14:paraId="2F764BB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2686F1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410" w:type="pct"/>
                  <w:noWrap w:val="0"/>
                  <w:vAlign w:val="center"/>
                </w:tcPr>
                <w:p w14:paraId="19B48AD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6</w:t>
                  </w:r>
                </w:p>
              </w:tc>
              <w:tc>
                <w:tcPr>
                  <w:tcW w:w="1891" w:type="pct"/>
                  <w:noWrap w:val="0"/>
                  <w:vAlign w:val="center"/>
                </w:tcPr>
                <w:p w14:paraId="7CE44F1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潜水服</w:t>
                  </w:r>
                </w:p>
              </w:tc>
              <w:tc>
                <w:tcPr>
                  <w:tcW w:w="485" w:type="pct"/>
                  <w:noWrap w:val="0"/>
                  <w:vAlign w:val="center"/>
                </w:tcPr>
                <w:p w14:paraId="2792850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件</w:t>
                  </w:r>
                </w:p>
              </w:tc>
              <w:tc>
                <w:tcPr>
                  <w:tcW w:w="468" w:type="pct"/>
                  <w:noWrap w:val="0"/>
                  <w:vAlign w:val="center"/>
                </w:tcPr>
                <w:p w14:paraId="53C598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745" w:type="pct"/>
                  <w:noWrap w:val="0"/>
                  <w:vAlign w:val="center"/>
                </w:tcPr>
                <w:p w14:paraId="18713D2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419D07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5" w:hRule="atLeast"/>
                <w:jc w:val="center"/>
              </w:trPr>
              <w:tc>
                <w:tcPr>
                  <w:tcW w:w="410" w:type="pct"/>
                  <w:noWrap w:val="0"/>
                  <w:vAlign w:val="center"/>
                </w:tcPr>
                <w:p w14:paraId="222BDE1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7</w:t>
                  </w:r>
                </w:p>
              </w:tc>
              <w:tc>
                <w:tcPr>
                  <w:tcW w:w="1891" w:type="pct"/>
                  <w:noWrap w:val="0"/>
                  <w:vAlign w:val="center"/>
                </w:tcPr>
                <w:p w14:paraId="06CE9EB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鼓风机</w:t>
                  </w:r>
                </w:p>
                <w:p w14:paraId="0BDC8ED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GB" w:eastAsia="zh-CN"/>
                    </w:rPr>
                    <w:t>额定送风量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  <w:t>不低于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18m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vertAlign w:val="superscript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/min）</w:t>
                  </w:r>
                </w:p>
              </w:tc>
              <w:tc>
                <w:tcPr>
                  <w:tcW w:w="485" w:type="pct"/>
                  <w:noWrap w:val="0"/>
                  <w:vAlign w:val="center"/>
                </w:tcPr>
                <w:p w14:paraId="0DB8285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台</w:t>
                  </w:r>
                </w:p>
              </w:tc>
              <w:tc>
                <w:tcPr>
                  <w:tcW w:w="468" w:type="pct"/>
                  <w:noWrap w:val="0"/>
                  <w:vAlign w:val="center"/>
                </w:tcPr>
                <w:p w14:paraId="59E0169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745" w:type="pct"/>
                  <w:noWrap w:val="0"/>
                  <w:vAlign w:val="center"/>
                </w:tcPr>
                <w:p w14:paraId="537ACC2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52E965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2" w:hRule="atLeast"/>
                <w:jc w:val="center"/>
              </w:trPr>
              <w:tc>
                <w:tcPr>
                  <w:tcW w:w="410" w:type="pct"/>
                  <w:noWrap w:val="0"/>
                  <w:vAlign w:val="center"/>
                </w:tcPr>
                <w:p w14:paraId="705540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8</w:t>
                  </w:r>
                </w:p>
              </w:tc>
              <w:tc>
                <w:tcPr>
                  <w:tcW w:w="1891" w:type="pct"/>
                  <w:noWrap w:val="0"/>
                  <w:vAlign w:val="center"/>
                </w:tcPr>
                <w:p w14:paraId="67B038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有毒气体检测仪</w:t>
                  </w:r>
                </w:p>
                <w:p w14:paraId="6B47060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（泵吸式气体检测仪）</w:t>
                  </w:r>
                </w:p>
              </w:tc>
              <w:tc>
                <w:tcPr>
                  <w:tcW w:w="485" w:type="pct"/>
                  <w:noWrap w:val="0"/>
                  <w:vAlign w:val="center"/>
                </w:tcPr>
                <w:p w14:paraId="687165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台</w:t>
                  </w:r>
                </w:p>
              </w:tc>
              <w:tc>
                <w:tcPr>
                  <w:tcW w:w="468" w:type="pct"/>
                  <w:noWrap w:val="0"/>
                  <w:vAlign w:val="center"/>
                </w:tcPr>
                <w:p w14:paraId="3574D7D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745" w:type="pct"/>
                  <w:noWrap w:val="0"/>
                  <w:vAlign w:val="center"/>
                </w:tcPr>
                <w:p w14:paraId="32FAA65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66842B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  <w:jc w:val="center"/>
              </w:trPr>
              <w:tc>
                <w:tcPr>
                  <w:tcW w:w="410" w:type="pct"/>
                  <w:noWrap w:val="0"/>
                  <w:vAlign w:val="center"/>
                </w:tcPr>
                <w:p w14:paraId="52BF5A40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9</w:t>
                  </w:r>
                </w:p>
              </w:tc>
              <w:tc>
                <w:tcPr>
                  <w:tcW w:w="1891" w:type="pct"/>
                  <w:noWrap w:val="0"/>
                  <w:vAlign w:val="center"/>
                </w:tcPr>
                <w:p w14:paraId="33E69E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工程车</w:t>
                  </w:r>
                </w:p>
              </w:tc>
              <w:tc>
                <w:tcPr>
                  <w:tcW w:w="485" w:type="pct"/>
                  <w:noWrap w:val="0"/>
                  <w:vAlign w:val="center"/>
                </w:tcPr>
                <w:p w14:paraId="460FF54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台</w:t>
                  </w:r>
                </w:p>
              </w:tc>
              <w:tc>
                <w:tcPr>
                  <w:tcW w:w="468" w:type="pct"/>
                  <w:noWrap w:val="0"/>
                  <w:vAlign w:val="center"/>
                </w:tcPr>
                <w:p w14:paraId="5289AE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745" w:type="pct"/>
                  <w:noWrap w:val="0"/>
                  <w:vAlign w:val="center"/>
                </w:tcPr>
                <w:p w14:paraId="7A789FD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275BF6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5" w:hRule="atLeast"/>
                <w:jc w:val="center"/>
              </w:trPr>
              <w:tc>
                <w:tcPr>
                  <w:tcW w:w="410" w:type="pct"/>
                  <w:noWrap w:val="0"/>
                  <w:vAlign w:val="center"/>
                </w:tcPr>
                <w:p w14:paraId="163E160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1891" w:type="pct"/>
                  <w:noWrap w:val="0"/>
                  <w:vAlign w:val="center"/>
                </w:tcPr>
                <w:p w14:paraId="2E9F792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渣浆泵</w:t>
                  </w:r>
                </w:p>
                <w:p w14:paraId="52E6ADC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GB"/>
                    </w:rPr>
                    <w:t>（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1"/>
                      <w:szCs w:val="21"/>
                      <w:lang w:val="en-GB"/>
                    </w:rPr>
                    <w:t>额定抽排量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不低于180m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vertAlign w:val="superscript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/h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GB"/>
                    </w:rPr>
                    <w:t>）</w:t>
                  </w:r>
                </w:p>
              </w:tc>
              <w:tc>
                <w:tcPr>
                  <w:tcW w:w="485" w:type="pct"/>
                  <w:noWrap w:val="0"/>
                  <w:vAlign w:val="center"/>
                </w:tcPr>
                <w:p w14:paraId="5961796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台</w:t>
                  </w:r>
                </w:p>
              </w:tc>
              <w:tc>
                <w:tcPr>
                  <w:tcW w:w="468" w:type="pct"/>
                  <w:noWrap w:val="0"/>
                  <w:vAlign w:val="center"/>
                </w:tcPr>
                <w:p w14:paraId="56AFC59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745" w:type="pct"/>
                  <w:noWrap w:val="0"/>
                  <w:vAlign w:val="center"/>
                </w:tcPr>
                <w:p w14:paraId="75417D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16C82040">
            <w:pPr>
              <w:pStyle w:val="4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5BB21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二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、服务期限</w:t>
            </w:r>
          </w:p>
          <w:p w14:paraId="7BA9E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自合同签订之日起一年（若项目到期仍有项目已开工但未完成验收的，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中标人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应按合同约定继续完成未完成的工作）。</w:t>
            </w:r>
          </w:p>
          <w:p w14:paraId="46C3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 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三、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服务费计算</w:t>
            </w:r>
          </w:p>
          <w:p w14:paraId="7B472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（1）项目单价：招标控制单价按投标折扣下浮后即为合同项目单价（下浮后单价按四舍五入法取整），计算方式：合同项目单价=招标控制单价*投标总价（折扣）。若合同中没有适用的项目单价，则委托第三方咨询单位进行市场询价并按合同折扣下浮后，确定项目单价。</w:t>
            </w:r>
          </w:p>
          <w:p w14:paraId="1D417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（2）服务数量：服务数量以经招标人验收合格并确认的实际发生数量为准。</w:t>
            </w:r>
          </w:p>
          <w:p w14:paraId="56216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 （3）服务费计算方式：服务费=Σ（服务数量*合同项目单价），招标人对中标人服务期限内的服务数量和金额不作任何承诺或保证，如有需要，招标人有权对服务范围内的服务内容进行必要的调整。</w:t>
            </w:r>
          </w:p>
          <w:p w14:paraId="5A5AF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四、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付款方式</w:t>
            </w:r>
          </w:p>
          <w:p w14:paraId="530C9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 （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一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） 按单个项目实际发生数量按实结算，中标人单个项目完成并通过验收后，凭合法有效的增值税发票（普通/专票），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招标人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一次性支付单个项目服务款。</w:t>
            </w:r>
          </w:p>
          <w:p w14:paraId="7BE3F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二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）中标人申请支付服务费时，应按招标人要求开具合法有效的增值税发票（普通/专票）；否则，招标人有权拒付服务费。</w:t>
            </w:r>
          </w:p>
          <w:p w14:paraId="1B418F65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五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有限空间作业要求</w:t>
            </w:r>
          </w:p>
          <w:p w14:paraId="0035BA66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(一)专项方案管理要求</w:t>
            </w:r>
          </w:p>
          <w:p w14:paraId="5FDB0724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1.有限空间作业按危大工程管理，作业前必须编制《有限空间作业专项方案》,明确作业流程、风险防控措施、气体检测计划、通风方案、应急处置流程等核心内容。</w:t>
            </w:r>
          </w:p>
          <w:p w14:paraId="30E2547B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2.专项方案须经施工单位技术负责人审核签字、总监理工程师审查签字后，组织专家进行论证评审；评审合格并完善方案后，方可组织作业。</w:t>
            </w:r>
          </w:p>
          <w:p w14:paraId="37BD5DD2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3.若作业条件、施工工艺发生变化，须重新编制或修订专项方案，按原审核、论证程序执行，未经审批不得擅自变更作业内容。</w:t>
            </w:r>
          </w:p>
          <w:p w14:paraId="226FE672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(二)警示标志要求</w:t>
            </w:r>
          </w:p>
          <w:p w14:paraId="47AF41D6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有限空间作业现场必须在进出口显著位置悬挂“有限空间作业标示牌”,标示牌需清晰标注“有限空间”“未经许可严禁入内”“必须佩戴防护用品”“应急联系电话”等核心信息，字体醒目、内容规范。</w:t>
            </w:r>
          </w:p>
          <w:p w14:paraId="40B188CD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(三)气体检测要求</w:t>
            </w:r>
          </w:p>
          <w:p w14:paraId="4C63ED95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1.检测项目：作业前、作业中须检测氧气浓度、有毒有害气体(硫化氢、一氧化碳、甲烷等)浓度及可燃气体积聚情况，结果需低于国家规定限值。</w:t>
            </w:r>
          </w:p>
          <w:p w14:paraId="24A6031D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2.检测规范：检测人员需使用经校验合格的检测设备，检测点覆盖空间所有区域(含盲端、死角),避免遗漏。</w:t>
            </w:r>
          </w:p>
          <w:p w14:paraId="2EC234CB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3.检测频次：作业前必测，作业中每30分钟复测一次；若作业时长超过2小时，每15分钟复测一次，检测结果全程记录存档。</w:t>
            </w:r>
          </w:p>
          <w:p w14:paraId="0385E2EE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4.异常处置：检测结果异常时，立即停止作业、组织人员撤离，查明原因并采取整改措施后，重新检测合格方可复工。</w:t>
            </w:r>
          </w:p>
          <w:p w14:paraId="21FAB068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(四)通风换气要求</w:t>
            </w:r>
          </w:p>
          <w:p w14:paraId="1BF8BE82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1.通风方式：作业前必须采用防爆型通风设备强制通风，严禁以自然通风替代，通风设备需远离有限空间进出口，确保空气充分置换。</w:t>
            </w:r>
          </w:p>
          <w:p w14:paraId="0CC58798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2.通风时长：作业前通风时间不得少于30分钟，通风后须结合气体检测结果判断是否达标。</w:t>
            </w:r>
          </w:p>
          <w:p w14:paraId="1E8811A7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3.持续通风：作业期间通风设备持续运行，不得擅自关闭；设备故障时立即停工撤离，修复后重新通风达标方可复工。</w:t>
            </w:r>
          </w:p>
          <w:p w14:paraId="6464D591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(五)个人防护要求</w:t>
            </w:r>
          </w:p>
          <w:p w14:paraId="1F702453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1.作业人员必须穿戴符合要求的个人防护用品，包括防毒面具、防化服、防滑鞋、安全帽、安全带、救生绳等，未防护或防护不到位严禁进入有限空间。</w:t>
            </w:r>
          </w:p>
          <w:p w14:paraId="78B330CD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2.防护用品需定期检查、维护和更换，确保完好有效；作业前对防护用品进行试穿试用，确认无破损、无故障。</w:t>
            </w:r>
          </w:p>
          <w:p w14:paraId="25D1A171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(六)用电管理要求</w:t>
            </w:r>
          </w:p>
          <w:p w14:paraId="5BE2C511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1.有限空间内作业使用的电器设备(如照明、工具等)必须符合防爆、防潮要求，外壳接地可靠，严禁使用非防爆电器。</w:t>
            </w:r>
          </w:p>
          <w:p w14:paraId="41B1075F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2.电线须采用绝缘良好的软电缆，不得有破损、老化现象，严禁私拉乱接；作业结束后立即切断电源，收回电器设备。</w:t>
            </w:r>
          </w:p>
          <w:p w14:paraId="1A4E45FD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(七)教育培训要求</w:t>
            </w:r>
          </w:p>
          <w:p w14:paraId="2DDD7EA4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1.施工单位须对有限空间作业人员、监护人员开展有针对性的专项教育培训，内容包括有限空间风险辨识、作业规范、气体检测、通风操作、应急处置等。</w:t>
            </w:r>
          </w:p>
          <w:p w14:paraId="71A97119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2.培训后组织考核，考核合格后方可上岗；定期开展再培训和技能更新，确保作业人员熟练掌握相关知识和技能。</w:t>
            </w:r>
          </w:p>
          <w:p w14:paraId="6434AFB9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(八)作业监护要求</w:t>
            </w:r>
          </w:p>
          <w:p w14:paraId="463564A1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1.作业时必须配备专职监护人员，全程坚守现场，不得离岗、脱岗，监护人员需与作业人员保持实时通讯(如对讲机)。</w:t>
            </w:r>
          </w:p>
          <w:p w14:paraId="03B6DFBA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2.作业现场须安装24小时不间断视频监控设备，监控范围须全覆盖有限空间进出口、作业区域及监护人员值守位置，画面清晰可辨，监控数据至少留存30天，确保我站监督人员可随时调阅核查。</w:t>
            </w:r>
          </w:p>
          <w:p w14:paraId="1CA2F847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3.监护人员须掌握应急救援技能，配备救生绳、呼吸器、急救箱等救援设备，明确应急撤离路线，发现异常立即启动救援预案。</w:t>
            </w:r>
          </w:p>
          <w:p w14:paraId="662B90AD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(九)作业时限要求</w:t>
            </w:r>
          </w:p>
          <w:p w14:paraId="55F4AF99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1.单次有限空间作业时长不得超过2小时，作业人员轮换间隔不超过1小时，每次轮换人数不少于1人，轮换时检查作业人员身体状态。</w:t>
            </w:r>
          </w:p>
          <w:p w14:paraId="534C0BAC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2.确需延长作业时长的，须经项目负责人审批，总时长不得超过4小时，同时增加气体检测频次(每15分钟一次),额外配备备用防护设备及救援人员。</w:t>
            </w:r>
          </w:p>
          <w:p w14:paraId="1CFB7CC5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(十)应急管理要求</w:t>
            </w:r>
          </w:p>
          <w:p w14:paraId="280FF2EE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1.作业前编制专项应急救援预案，明确应急组织机构、处置流程、救援措施及人员职责，配备充足的应急救援器材(如应急照明、呼吸器、担架等)。</w:t>
            </w:r>
          </w:p>
          <w:p w14:paraId="77EF1763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2.作业前组织应急演练，确保作业人员、监护人员熟练掌握应急撤离、心肺复苏等技能；应急救援器材定期检查维护，确保完好可用。</w:t>
            </w:r>
          </w:p>
          <w:p w14:paraId="4F276EC1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3.发生安全事故时，严禁盲目施救，严禁未采取防护措施擅自进入有限空间救援，必须严格按照应急救援预案实施科学救援，同时立即上报事故情况。</w:t>
            </w:r>
          </w:p>
          <w:p w14:paraId="42F9BE49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六、其他要求</w:t>
            </w:r>
          </w:p>
          <w:p w14:paraId="51E81D37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一）中标人应将淤泥运至指定淤泥处置地点。提前计算和预备入厂排队时间，做好清淤-淤泥处理衔接工作。淤泥清运收纳相关要求以招标人签订的协议为准。（淤泥处置地点不受理的废渣、杂物由中标人自行处理。）清淤相关服务费含淤泥、废渣、杂物外运费用，不含淤泥、废渣、杂物处置费。</w:t>
            </w:r>
          </w:p>
          <w:p w14:paraId="51E6C09B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（二）现场当天清出的淤泥、废渣、杂物应及时清理运走。淤泥、废渣、杂物外运时间、路线应满足国土、水务、环保、城管及交管等政府主管部门的要求，运输期间应做好防渗、防漏措施。</w:t>
            </w:r>
          </w:p>
          <w:p w14:paraId="25880389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（三）中标人应主动协调与公安、交警、市政、城管、环保、水务、周边居民等各方面的关系，并承担相关费用，不得因此而影响项目实施进度。</w:t>
            </w:r>
          </w:p>
          <w:p w14:paraId="79CC60A6">
            <w:pPr>
              <w:pStyle w:val="4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7FE18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经办人：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                     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需求单位负责人：</w:t>
      </w:r>
    </w:p>
    <w:p w14:paraId="70D0D2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60" w:line="560" w:lineRule="exact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</w:p>
    <w:p w14:paraId="47D9441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60" w:line="560" w:lineRule="exact"/>
        <w:ind w:firstLine="4800" w:firstLineChars="1600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日期：</w:t>
      </w:r>
    </w:p>
    <w:p w14:paraId="2DB23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7206B"/>
    <w:rsid w:val="24EF7670"/>
    <w:rsid w:val="26176E7E"/>
    <w:rsid w:val="38D723B5"/>
    <w:rsid w:val="3DDC11FA"/>
    <w:rsid w:val="4B28465B"/>
    <w:rsid w:val="5DE3706A"/>
    <w:rsid w:val="5EF9282A"/>
    <w:rsid w:val="5F57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Courier New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spacing w:afterLines="25" w:line="300" w:lineRule="auto"/>
      <w:ind w:firstLine="420" w:firstLineChars="200"/>
      <w:jc w:val="both"/>
    </w:pPr>
    <w:rPr>
      <w:rFonts w:ascii="等线" w:hAnsi="等线" w:eastAsia="等线" w:cs="Times New Roman"/>
      <w:color w:val="auto"/>
      <w:kern w:val="2"/>
      <w:sz w:val="21"/>
      <w:szCs w:val="22"/>
      <w:lang w:eastAsia="zh-CN" w:bidi="ar-SA"/>
    </w:rPr>
  </w:style>
  <w:style w:type="paragraph" w:customStyle="1" w:styleId="7">
    <w:name w:val="BodyTextIndent3"/>
    <w:qFormat/>
    <w:uiPriority w:val="0"/>
    <w:pPr>
      <w:spacing w:line="360" w:lineRule="auto"/>
      <w:ind w:firstLine="482" w:firstLineChars="200"/>
      <w:jc w:val="both"/>
    </w:pPr>
    <w:rPr>
      <w:rFonts w:ascii="宋体" w:hAnsi="宋体" w:eastAsia="宋体" w:cs="Times New Roman"/>
      <w:b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3269</Words>
  <Characters>3343</Characters>
  <Lines>0</Lines>
  <Paragraphs>0</Paragraphs>
  <TotalTime>0</TotalTime>
  <ScaleCrop>false</ScaleCrop>
  <LinksUpToDate>false</LinksUpToDate>
  <CharactersWithSpaces>3368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2026-01-13T02:26:00Z</dcterms:created>
  <dc:creator>Administrator</dc:creator>
  <cp:lastModifiedBy>隋秀影</cp:lastModifiedBy>
  <dcterms:modified xsi:type="dcterms:W3CDTF">2026-01-14T07:39:05Z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eyJoZGlkIjoiYWM4Yzc3MDk5MzEwZWZiYTA5NjczODc0YmI5OTgxZDkiLCJ1c2VySWQiOiI0MjQ0NjU3OTgifQ==</vt:lpwstr>
  </property>
  <property fmtid="{D5CDD505-2E9C-101B-9397-08002B2CF9AE}" pid="4" name="ICV">
    <vt:lpwstr>BD94F9965E99493C832599F926AF9F79_12</vt:lpwstr>
  </property>
</Properties>
</file>